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E86A98" w:rsidRDefault="00EF4138" w:rsidP="00321F9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Pairing Modules to focus employer engagement</w:t>
      </w:r>
    </w:p>
    <w:p w:rsidR="00434E0B" w:rsidRPr="00434E0B" w:rsidRDefault="00EF4138" w:rsidP="00434E0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 course leader's strategy to focus employer engagement </w:t>
      </w:r>
      <w:r w:rsidR="000B56BA">
        <w:rPr>
          <w:sz w:val="24"/>
          <w:szCs w:val="24"/>
        </w:rPr>
        <w:t>by pairing up modules arou</w:t>
      </w:r>
      <w:r>
        <w:rPr>
          <w:sz w:val="24"/>
          <w:szCs w:val="24"/>
        </w:rPr>
        <w:t>nd connected themes in the town and country planning apprenticeship</w:t>
      </w:r>
    </w:p>
    <w:p w:rsidR="00321F9F" w:rsidRPr="00E86A98" w:rsidRDefault="00321F9F" w:rsidP="00321F9F">
      <w:pPr>
        <w:pStyle w:val="Heading1"/>
        <w:rPr>
          <w:sz w:val="24"/>
          <w:szCs w:val="24"/>
        </w:rPr>
      </w:pPr>
      <w:r w:rsidRPr="00E86A98">
        <w:rPr>
          <w:sz w:val="24"/>
          <w:szCs w:val="24"/>
        </w:rPr>
        <w:t>Aim</w:t>
      </w:r>
    </w:p>
    <w:p w:rsidR="00C36B5C" w:rsidRPr="00FA38AD" w:rsidRDefault="000B56BA" w:rsidP="00524313">
      <w:pPr>
        <w:rPr>
          <w:iCs/>
          <w:sz w:val="24"/>
          <w:szCs w:val="24"/>
        </w:rPr>
      </w:pPr>
      <w:r w:rsidRPr="00FA38AD">
        <w:rPr>
          <w:iCs/>
          <w:sz w:val="24"/>
          <w:szCs w:val="24"/>
        </w:rPr>
        <w:t>The key objective of this strategic course level pairing exerc</w:t>
      </w:r>
      <w:bookmarkStart w:id="0" w:name="_GoBack"/>
      <w:bookmarkEnd w:id="0"/>
      <w:r w:rsidRPr="00FA38AD">
        <w:rPr>
          <w:iCs/>
          <w:sz w:val="24"/>
          <w:szCs w:val="24"/>
        </w:rPr>
        <w:t xml:space="preserve">ise was to offer employers a clearer set of focussed themes around which to plan experiential opportunities for the Apprentice in their job role.  A reorganisation of module delivery and its communication to employers was intended to address the risk of dis-connect and to address the challenge of securing a progressive approach to 20% </w:t>
      </w:r>
      <w:proofErr w:type="gramStart"/>
      <w:r w:rsidRPr="00FA38AD">
        <w:rPr>
          <w:iCs/>
          <w:sz w:val="24"/>
          <w:szCs w:val="24"/>
        </w:rPr>
        <w:t>Off</w:t>
      </w:r>
      <w:proofErr w:type="gramEnd"/>
      <w:r w:rsidRPr="00FA38AD">
        <w:rPr>
          <w:iCs/>
          <w:sz w:val="24"/>
          <w:szCs w:val="24"/>
        </w:rPr>
        <w:t>--The-Job-Training.</w:t>
      </w:r>
    </w:p>
    <w:p w:rsidR="00745A49" w:rsidRPr="00E86A98" w:rsidRDefault="00745A49" w:rsidP="00745A4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approach</w:t>
      </w:r>
    </w:p>
    <w:p w:rsidR="00864D9F" w:rsidRDefault="00864D9F" w:rsidP="0052431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This case study was set in the context of a shift in national educational approach to Town Planning.  Using a recently approved standard, running quite uniquely from level 4 to level 7 (a postgraduate outcome), the SHU course team worked quickly to establish the apprenticeship offer, with multiple entry points to meet the needs of employer organisations. The employer </w:t>
      </w:r>
      <w:proofErr w:type="gramStart"/>
      <w:r>
        <w:rPr>
          <w:iCs/>
          <w:sz w:val="24"/>
          <w:szCs w:val="24"/>
        </w:rPr>
        <w:t>staff were</w:t>
      </w:r>
      <w:proofErr w:type="gramEnd"/>
      <w:r>
        <w:rPr>
          <w:iCs/>
          <w:sz w:val="24"/>
          <w:szCs w:val="24"/>
        </w:rPr>
        <w:t xml:space="preserve"> largely new to apprenticeships and so this called for an incremental testing and embedding of work based learning and parallel development of academic staff within SHU as well.</w:t>
      </w:r>
    </w:p>
    <w:p w:rsidR="00864D9F" w:rsidRPr="00864D9F" w:rsidRDefault="00864D9F" w:rsidP="00864D9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Early feedback from employers, often channelled through the SHU WBL Coach</w:t>
      </w:r>
      <w:r w:rsidR="00683F3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indicated that employers were concerned how best to meet the 20% Off The Job Training and how to structure work based </w:t>
      </w:r>
      <w:proofErr w:type="gramStart"/>
      <w:r>
        <w:rPr>
          <w:iCs/>
          <w:sz w:val="24"/>
          <w:szCs w:val="24"/>
        </w:rPr>
        <w:t>rotation ,experiences</w:t>
      </w:r>
      <w:proofErr w:type="gramEnd"/>
      <w:r>
        <w:rPr>
          <w:iCs/>
          <w:sz w:val="24"/>
          <w:szCs w:val="24"/>
        </w:rPr>
        <w:t xml:space="preserve"> and project work to integrate with the degree programme and its calls for work based activities.</w:t>
      </w:r>
    </w:p>
    <w:p w:rsidR="00EE4352" w:rsidRDefault="00683F32" w:rsidP="00864D9F">
      <w:pPr>
        <w:rPr>
          <w:iCs/>
          <w:sz w:val="24"/>
          <w:szCs w:val="24"/>
        </w:rPr>
      </w:pPr>
      <w:r w:rsidRPr="00683F32">
        <w:rPr>
          <w:iCs/>
          <w:sz w:val="24"/>
          <w:szCs w:val="24"/>
        </w:rPr>
        <w:t xml:space="preserve">The Course Leader </w:t>
      </w:r>
      <w:r>
        <w:rPr>
          <w:iCs/>
          <w:sz w:val="24"/>
          <w:szCs w:val="24"/>
        </w:rPr>
        <w:t>decided to conduct some holistic planning to re-frame the delivery and messaging to employers.</w:t>
      </w:r>
      <w:r w:rsidR="00EE4352">
        <w:rPr>
          <w:iCs/>
          <w:sz w:val="24"/>
          <w:szCs w:val="24"/>
        </w:rPr>
        <w:t xml:space="preserve">  Examples of these themes include:</w:t>
      </w:r>
    </w:p>
    <w:p w:rsidR="00EE4352" w:rsidRPr="00EE4352" w:rsidRDefault="00EE4352" w:rsidP="00EE4352">
      <w:pPr>
        <w:pStyle w:val="ListParagraph"/>
        <w:numPr>
          <w:ilvl w:val="0"/>
          <w:numId w:val="8"/>
        </w:numPr>
        <w:rPr>
          <w:iCs/>
          <w:sz w:val="24"/>
          <w:szCs w:val="24"/>
        </w:rPr>
      </w:pPr>
      <w:r w:rsidRPr="00EE4352">
        <w:rPr>
          <w:iCs/>
          <w:sz w:val="24"/>
          <w:szCs w:val="24"/>
        </w:rPr>
        <w:t>Planning Policy Development</w:t>
      </w:r>
    </w:p>
    <w:p w:rsidR="00EE4352" w:rsidRPr="00EE4352" w:rsidRDefault="00EE4352" w:rsidP="00EE4352">
      <w:pPr>
        <w:pStyle w:val="ListParagraph"/>
        <w:numPr>
          <w:ilvl w:val="0"/>
          <w:numId w:val="8"/>
        </w:numPr>
        <w:rPr>
          <w:iCs/>
          <w:sz w:val="24"/>
          <w:szCs w:val="24"/>
        </w:rPr>
      </w:pPr>
      <w:r w:rsidRPr="00EE4352">
        <w:rPr>
          <w:iCs/>
          <w:sz w:val="24"/>
          <w:szCs w:val="24"/>
        </w:rPr>
        <w:t>Planning Implementation</w:t>
      </w:r>
    </w:p>
    <w:p w:rsidR="00EE4352" w:rsidRPr="00FA38AD" w:rsidRDefault="00EE4352" w:rsidP="00FA38AD">
      <w:pPr>
        <w:pStyle w:val="ListParagraph"/>
        <w:numPr>
          <w:ilvl w:val="0"/>
          <w:numId w:val="8"/>
        </w:numPr>
        <w:rPr>
          <w:iCs/>
          <w:sz w:val="24"/>
          <w:szCs w:val="24"/>
        </w:rPr>
      </w:pPr>
      <w:r w:rsidRPr="00EE4352">
        <w:rPr>
          <w:iCs/>
          <w:sz w:val="24"/>
          <w:szCs w:val="24"/>
        </w:rPr>
        <w:t>Environment and Sustainability</w:t>
      </w:r>
    </w:p>
    <w:p w:rsidR="00321F9F" w:rsidRPr="00E86A98" w:rsidRDefault="00321F9F" w:rsidP="00321F9F">
      <w:pPr>
        <w:pStyle w:val="Heading1"/>
        <w:rPr>
          <w:sz w:val="24"/>
          <w:szCs w:val="24"/>
        </w:rPr>
      </w:pPr>
      <w:r w:rsidRPr="00E86A98">
        <w:rPr>
          <w:sz w:val="24"/>
          <w:szCs w:val="24"/>
        </w:rPr>
        <w:t>Benefits</w:t>
      </w:r>
    </w:p>
    <w:p w:rsidR="00683F32" w:rsidRDefault="00683F32" w:rsidP="00FA38AD">
      <w:pPr>
        <w:pStyle w:val="ListParagraph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The approach delivered a re-alignment of a more managed assessment journey.  Assignments were rationalised with clearer links to KSBs.</w:t>
      </w:r>
    </w:p>
    <w:p w:rsidR="00845619" w:rsidRDefault="00845619" w:rsidP="00FA38AD">
      <w:pPr>
        <w:pStyle w:val="ListParagraph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This enables a refocussing of staff resources to small </w:t>
      </w:r>
      <w:r w:rsidR="00FA38AD">
        <w:rPr>
          <w:sz w:val="24"/>
          <w:szCs w:val="24"/>
        </w:rPr>
        <w:t>group</w:t>
      </w:r>
      <w:r>
        <w:rPr>
          <w:sz w:val="24"/>
          <w:szCs w:val="24"/>
        </w:rPr>
        <w:t xml:space="preserve"> sessions for a richer and more </w:t>
      </w:r>
      <w:proofErr w:type="spellStart"/>
      <w:r>
        <w:rPr>
          <w:sz w:val="24"/>
          <w:szCs w:val="24"/>
        </w:rPr>
        <w:t>heutagogic</w:t>
      </w:r>
      <w:proofErr w:type="spellEnd"/>
      <w:r>
        <w:rPr>
          <w:sz w:val="24"/>
          <w:szCs w:val="24"/>
        </w:rPr>
        <w:t xml:space="preserve"> discourse during delivery, which will be a critical facet of a move to on-line delivery of block days.</w:t>
      </w:r>
    </w:p>
    <w:p w:rsidR="00845619" w:rsidRPr="00683F32" w:rsidRDefault="00845619" w:rsidP="00FA38AD">
      <w:pPr>
        <w:pStyle w:val="ListParagraph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The paired modules will provide a diversity of </w:t>
      </w:r>
      <w:r w:rsidRPr="00683F32">
        <w:rPr>
          <w:i/>
          <w:iCs/>
          <w:sz w:val="24"/>
          <w:szCs w:val="24"/>
        </w:rPr>
        <w:t>activities</w:t>
      </w:r>
      <w:r>
        <w:rPr>
          <w:i/>
          <w:iCs/>
          <w:sz w:val="24"/>
          <w:szCs w:val="24"/>
        </w:rPr>
        <w:t xml:space="preserve"> and tools</w:t>
      </w:r>
      <w:r>
        <w:rPr>
          <w:iCs/>
          <w:sz w:val="24"/>
          <w:szCs w:val="24"/>
        </w:rPr>
        <w:t xml:space="preserve"> for Apprentices to draw on and discuss with Academic Advisors as they prepare to deploy those tools in the work place.</w:t>
      </w:r>
    </w:p>
    <w:p w:rsidR="00321F9F" w:rsidRDefault="00683F32" w:rsidP="00FA38AD">
      <w:pPr>
        <w:pStyle w:val="ListParagraph"/>
        <w:numPr>
          <w:ilvl w:val="0"/>
          <w:numId w:val="7"/>
        </w:numPr>
        <w:ind w:left="426" w:hanging="426"/>
        <w:rPr>
          <w:iCs/>
          <w:sz w:val="24"/>
          <w:szCs w:val="24"/>
        </w:rPr>
      </w:pPr>
      <w:r w:rsidRPr="00683F32">
        <w:rPr>
          <w:iCs/>
          <w:sz w:val="24"/>
          <w:szCs w:val="24"/>
        </w:rPr>
        <w:t>By reconsidering the delive</w:t>
      </w:r>
      <w:r>
        <w:rPr>
          <w:iCs/>
          <w:sz w:val="24"/>
          <w:szCs w:val="24"/>
        </w:rPr>
        <w:t>ry at a macro level the Couse Le</w:t>
      </w:r>
      <w:r w:rsidRPr="00683F32">
        <w:rPr>
          <w:iCs/>
          <w:sz w:val="24"/>
          <w:szCs w:val="24"/>
        </w:rPr>
        <w:t xml:space="preserve">ader was able to identify one </w:t>
      </w:r>
      <w:r w:rsidRPr="00683F32">
        <w:rPr>
          <w:i/>
          <w:iCs/>
          <w:sz w:val="24"/>
          <w:szCs w:val="24"/>
        </w:rPr>
        <w:t>focussed</w:t>
      </w:r>
      <w:r>
        <w:rPr>
          <w:iCs/>
          <w:sz w:val="24"/>
          <w:szCs w:val="24"/>
        </w:rPr>
        <w:t xml:space="preserve"> </w:t>
      </w:r>
      <w:r w:rsidRPr="00683F32">
        <w:rPr>
          <w:i/>
          <w:iCs/>
          <w:sz w:val="24"/>
          <w:szCs w:val="24"/>
        </w:rPr>
        <w:t>theme</w:t>
      </w:r>
      <w:r w:rsidRPr="00683F32">
        <w:rPr>
          <w:iCs/>
          <w:sz w:val="24"/>
          <w:szCs w:val="24"/>
        </w:rPr>
        <w:t xml:space="preserve"> per semester, giving the employers a stronger steer on how to generate connected work experience.</w:t>
      </w:r>
    </w:p>
    <w:p w:rsidR="00683F32" w:rsidRPr="00FA38AD" w:rsidRDefault="00683F32" w:rsidP="00FA38AD">
      <w:pPr>
        <w:pStyle w:val="ListParagraph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FA38AD">
        <w:rPr>
          <w:iCs/>
          <w:sz w:val="24"/>
          <w:szCs w:val="24"/>
        </w:rPr>
        <w:t xml:space="preserve">By pairing modules within common KSB connections the Apprentice </w:t>
      </w:r>
      <w:r w:rsidR="00845619" w:rsidRPr="00FA38AD">
        <w:rPr>
          <w:iCs/>
          <w:sz w:val="24"/>
          <w:szCs w:val="24"/>
        </w:rPr>
        <w:t>can</w:t>
      </w:r>
      <w:r w:rsidRPr="00FA38AD">
        <w:rPr>
          <w:iCs/>
          <w:sz w:val="24"/>
          <w:szCs w:val="24"/>
        </w:rPr>
        <w:t xml:space="preserve"> be more confident to conduct SMART planning and evidence-based review with their mentor and the SHU WBL Coach.</w:t>
      </w:r>
    </w:p>
    <w:p w:rsidR="00321F9F" w:rsidRPr="00E86A98" w:rsidRDefault="00321F9F" w:rsidP="00321F9F">
      <w:pPr>
        <w:pStyle w:val="Heading1"/>
        <w:rPr>
          <w:sz w:val="24"/>
          <w:szCs w:val="24"/>
        </w:rPr>
      </w:pPr>
      <w:r w:rsidRPr="00E86A98">
        <w:rPr>
          <w:sz w:val="24"/>
          <w:szCs w:val="24"/>
        </w:rPr>
        <w:t>Future Developments</w:t>
      </w:r>
    </w:p>
    <w:p w:rsidR="00434E0B" w:rsidRPr="00845619" w:rsidRDefault="00845619" w:rsidP="00321F9F">
      <w:pPr>
        <w:rPr>
          <w:iCs/>
          <w:sz w:val="24"/>
          <w:szCs w:val="24"/>
        </w:rPr>
      </w:pPr>
      <w:r w:rsidRPr="00845619">
        <w:rPr>
          <w:iCs/>
          <w:sz w:val="24"/>
          <w:szCs w:val="24"/>
        </w:rPr>
        <w:t>For successful implementation the course team will need to deploy a range of enhanced on-learning platforms and engage in both formal and informal professional development activities.</w:t>
      </w:r>
      <w:r w:rsidR="00434E0B" w:rsidRPr="00845619">
        <w:rPr>
          <w:iCs/>
          <w:sz w:val="24"/>
          <w:szCs w:val="24"/>
        </w:rPr>
        <w:t xml:space="preserve"> </w:t>
      </w:r>
      <w:r w:rsidRPr="00845619">
        <w:rPr>
          <w:iCs/>
          <w:sz w:val="24"/>
          <w:szCs w:val="24"/>
        </w:rPr>
        <w:t xml:space="preserve">Much of the learning </w:t>
      </w:r>
      <w:r w:rsidR="00FA38AD">
        <w:rPr>
          <w:iCs/>
          <w:sz w:val="24"/>
          <w:szCs w:val="24"/>
        </w:rPr>
        <w:t>for academic staff will by necessity be through</w:t>
      </w:r>
      <w:r w:rsidRPr="00845619">
        <w:rPr>
          <w:iCs/>
          <w:sz w:val="24"/>
          <w:szCs w:val="24"/>
        </w:rPr>
        <w:t xml:space="preserve"> active experimentation.</w:t>
      </w:r>
    </w:p>
    <w:p w:rsidR="00845619" w:rsidRDefault="00845619" w:rsidP="00321F9F">
      <w:pPr>
        <w:rPr>
          <w:iCs/>
          <w:sz w:val="24"/>
          <w:szCs w:val="24"/>
        </w:rPr>
      </w:pPr>
      <w:r w:rsidRPr="00845619">
        <w:rPr>
          <w:iCs/>
          <w:sz w:val="24"/>
          <w:szCs w:val="24"/>
        </w:rPr>
        <w:t xml:space="preserve">This evolution of the course and the associated staff capability will be framed by a stronger </w:t>
      </w:r>
      <w:r w:rsidRPr="00845619">
        <w:rPr>
          <w:i/>
          <w:iCs/>
          <w:sz w:val="24"/>
          <w:szCs w:val="24"/>
        </w:rPr>
        <w:t>virtual narrative</w:t>
      </w:r>
      <w:r w:rsidRPr="00845619">
        <w:rPr>
          <w:iCs/>
          <w:sz w:val="24"/>
          <w:szCs w:val="24"/>
        </w:rPr>
        <w:t xml:space="preserve"> for the Apprenticeship</w:t>
      </w:r>
      <w:r w:rsidR="00EE4352">
        <w:rPr>
          <w:iCs/>
          <w:sz w:val="24"/>
          <w:szCs w:val="24"/>
        </w:rPr>
        <w:t xml:space="preserve"> delivery.</w:t>
      </w:r>
    </w:p>
    <w:p w:rsidR="00FA38AD" w:rsidRDefault="00FA38AD" w:rsidP="00EE435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Monitoring of the new</w:t>
      </w:r>
      <w:r w:rsidR="00EE4352">
        <w:rPr>
          <w:iCs/>
          <w:sz w:val="24"/>
          <w:szCs w:val="24"/>
        </w:rPr>
        <w:t xml:space="preserve"> approach </w:t>
      </w:r>
      <w:r>
        <w:rPr>
          <w:iCs/>
          <w:sz w:val="24"/>
          <w:szCs w:val="24"/>
        </w:rPr>
        <w:t>can initially focus on how staff might capitalise on</w:t>
      </w:r>
      <w:r w:rsidR="00EE4352">
        <w:rPr>
          <w:iCs/>
          <w:sz w:val="24"/>
          <w:szCs w:val="24"/>
        </w:rPr>
        <w:t xml:space="preserve"> logistical easing to optimise face to face sessions on varied digital platforms.  </w:t>
      </w:r>
    </w:p>
    <w:p w:rsidR="00FA38AD" w:rsidRDefault="00FA38AD" w:rsidP="00EE435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Secondly we need to look at any observable shift in employer </w:t>
      </w:r>
      <w:proofErr w:type="gramStart"/>
      <w:r>
        <w:rPr>
          <w:iCs/>
          <w:sz w:val="24"/>
          <w:szCs w:val="24"/>
        </w:rPr>
        <w:t>engagement  and</w:t>
      </w:r>
      <w:proofErr w:type="gramEnd"/>
      <w:r>
        <w:rPr>
          <w:iCs/>
          <w:sz w:val="24"/>
          <w:szCs w:val="24"/>
        </w:rPr>
        <w:t xml:space="preserve">  development of training plans and project work.</w:t>
      </w:r>
    </w:p>
    <w:p w:rsidR="00845619" w:rsidRDefault="00FA38AD" w:rsidP="00FA38A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We have no prior benchmark for attainment so a more holistic view of apprentice impact might be attained through qualitative feedback and observations of the new approach in action. </w:t>
      </w:r>
    </w:p>
    <w:p w:rsidR="00FA38AD" w:rsidRDefault="00FA38AD" w:rsidP="00FA38AD">
      <w:pPr>
        <w:rPr>
          <w:rFonts w:ascii="Calibri" w:hAnsi="Calibri"/>
          <w:color w:val="1F497D"/>
          <w:sz w:val="22"/>
          <w:szCs w:val="22"/>
        </w:rPr>
      </w:pPr>
      <w:r>
        <w:rPr>
          <w:iCs/>
          <w:sz w:val="24"/>
          <w:szCs w:val="24"/>
        </w:rPr>
        <w:t>In the medium term the outcomes of this project might inform a move towards 30 credit modules, instead of the 15 credit blocks that currently dominate the curriculum.</w:t>
      </w:r>
    </w:p>
    <w:p w:rsidR="003501E4" w:rsidRPr="00E86A98" w:rsidRDefault="003501E4" w:rsidP="003501E4">
      <w:pPr>
        <w:pStyle w:val="Heading1"/>
        <w:rPr>
          <w:sz w:val="24"/>
          <w:szCs w:val="24"/>
        </w:rPr>
      </w:pPr>
      <w:r w:rsidRPr="00E86A98">
        <w:rPr>
          <w:sz w:val="24"/>
          <w:szCs w:val="24"/>
        </w:rPr>
        <w:t>Recommendations to Other Staff</w:t>
      </w:r>
    </w:p>
    <w:p w:rsidR="0038037C" w:rsidRPr="00E2472B" w:rsidRDefault="00E2472B" w:rsidP="00745A49">
      <w:pPr>
        <w:rPr>
          <w:iCs/>
          <w:sz w:val="24"/>
          <w:szCs w:val="24"/>
        </w:rPr>
      </w:pPr>
      <w:r w:rsidRPr="00E2472B">
        <w:rPr>
          <w:iCs/>
          <w:sz w:val="24"/>
          <w:szCs w:val="24"/>
        </w:rPr>
        <w:t>The transition to a blended delivery will involve significant adaptation</w:t>
      </w:r>
      <w:r>
        <w:rPr>
          <w:iCs/>
          <w:sz w:val="24"/>
          <w:szCs w:val="24"/>
        </w:rPr>
        <w:t xml:space="preserve"> of our delivery strategies and methods</w:t>
      </w:r>
      <w:r w:rsidRPr="00E2472B">
        <w:rPr>
          <w:iCs/>
          <w:sz w:val="24"/>
          <w:szCs w:val="24"/>
        </w:rPr>
        <w:t xml:space="preserve">. This creates a new space where for a brief period we </w:t>
      </w:r>
      <w:r>
        <w:rPr>
          <w:iCs/>
          <w:sz w:val="24"/>
          <w:szCs w:val="24"/>
        </w:rPr>
        <w:t xml:space="preserve">are forced to innovate and we </w:t>
      </w:r>
      <w:r w:rsidRPr="00E2472B">
        <w:rPr>
          <w:iCs/>
          <w:sz w:val="24"/>
          <w:szCs w:val="24"/>
        </w:rPr>
        <w:t>might be expected to make some mistakes</w:t>
      </w:r>
      <w:r>
        <w:rPr>
          <w:iCs/>
          <w:sz w:val="24"/>
          <w:szCs w:val="24"/>
        </w:rPr>
        <w:t>.  However,</w:t>
      </w:r>
      <w:r w:rsidRPr="00E2472B">
        <w:rPr>
          <w:iCs/>
          <w:sz w:val="24"/>
          <w:szCs w:val="24"/>
        </w:rPr>
        <w:t xml:space="preserve"> the employers </w:t>
      </w:r>
      <w:r>
        <w:rPr>
          <w:iCs/>
          <w:sz w:val="24"/>
          <w:szCs w:val="24"/>
        </w:rPr>
        <w:t xml:space="preserve">partners </w:t>
      </w:r>
      <w:r w:rsidRPr="00E2472B">
        <w:rPr>
          <w:iCs/>
          <w:sz w:val="24"/>
          <w:szCs w:val="24"/>
        </w:rPr>
        <w:t xml:space="preserve">who spend their levy, or ESFA funds with us </w:t>
      </w:r>
      <w:r>
        <w:rPr>
          <w:iCs/>
          <w:sz w:val="24"/>
          <w:szCs w:val="24"/>
        </w:rPr>
        <w:t>and the time-</w:t>
      </w:r>
      <w:r w:rsidRPr="00E2472B">
        <w:rPr>
          <w:iCs/>
          <w:sz w:val="24"/>
          <w:szCs w:val="24"/>
        </w:rPr>
        <w:t xml:space="preserve">pressed apprentices will quickly set new expectations.  </w:t>
      </w:r>
      <w:r>
        <w:rPr>
          <w:iCs/>
          <w:sz w:val="24"/>
          <w:szCs w:val="24"/>
        </w:rPr>
        <w:t>Perhaps a</w:t>
      </w:r>
      <w:r w:rsidRPr="00E2472B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k</w:t>
      </w:r>
      <w:r w:rsidRPr="00E2472B">
        <w:rPr>
          <w:iCs/>
          <w:sz w:val="24"/>
          <w:szCs w:val="24"/>
        </w:rPr>
        <w:t xml:space="preserve"> yourself as a course leader and your fellow module leaders how you can use this transitionary period to tackle </w:t>
      </w:r>
      <w:r>
        <w:rPr>
          <w:iCs/>
          <w:sz w:val="24"/>
          <w:szCs w:val="24"/>
        </w:rPr>
        <w:t>other big questions about your apprenticeship curriculum.</w:t>
      </w:r>
    </w:p>
    <w:p w:rsidR="00FA38AD" w:rsidRDefault="00FA38AD" w:rsidP="00745A49">
      <w:pPr>
        <w:rPr>
          <w:i/>
          <w:iCs/>
          <w:sz w:val="24"/>
          <w:szCs w:val="24"/>
        </w:rPr>
      </w:pPr>
    </w:p>
    <w:p w:rsidR="00FA38AD" w:rsidRPr="00E86A98" w:rsidRDefault="00FA38AD" w:rsidP="00745A49">
      <w:pPr>
        <w:rPr>
          <w:i/>
          <w:iCs/>
          <w:sz w:val="24"/>
          <w:szCs w:val="24"/>
        </w:rPr>
      </w:pPr>
    </w:p>
    <w:p w:rsidR="00321F9F" w:rsidRPr="00E86A98" w:rsidRDefault="00321F9F" w:rsidP="00321F9F">
      <w:pPr>
        <w:pStyle w:val="Heading1"/>
        <w:rPr>
          <w:sz w:val="24"/>
          <w:szCs w:val="24"/>
        </w:rPr>
      </w:pPr>
      <w:r w:rsidRPr="00E86A98">
        <w:rPr>
          <w:sz w:val="24"/>
          <w:szCs w:val="24"/>
        </w:rPr>
        <w:lastRenderedPageBreak/>
        <w:t>Further &amp; Related Information</w:t>
      </w:r>
    </w:p>
    <w:p w:rsidR="00E2472B" w:rsidRPr="00E86A98" w:rsidRDefault="00E2472B" w:rsidP="00E2472B">
      <w:pPr>
        <w:spacing w:before="0"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03"/>
        <w:gridCol w:w="1184"/>
        <w:gridCol w:w="961"/>
        <w:gridCol w:w="1183"/>
        <w:gridCol w:w="999"/>
        <w:gridCol w:w="1239"/>
        <w:gridCol w:w="1173"/>
      </w:tblGrid>
      <w:tr w:rsidR="00E2472B" w:rsidTr="00036517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2B" w:rsidRDefault="00E2472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Key Platforms</w:t>
            </w:r>
          </w:p>
          <w:p w:rsidR="00E2472B" w:rsidRDefault="00E2472B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2B" w:rsidRDefault="00E2472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Andragogic Impact (including WBL)</w:t>
            </w:r>
          </w:p>
        </w:tc>
      </w:tr>
      <w:tr w:rsidR="00E2472B" w:rsidTr="00036517"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B" w:rsidRDefault="00E2472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2B" w:rsidRDefault="00AD1E82">
            <w:pPr>
              <w:rPr>
                <w:iCs/>
                <w:sz w:val="24"/>
                <w:szCs w:val="24"/>
              </w:rPr>
            </w:pPr>
            <w:hyperlink r:id="rId8" w:history="1">
              <w:proofErr w:type="spellStart"/>
              <w:r w:rsidR="00E2472B">
                <w:rPr>
                  <w:rStyle w:val="Hyperlink"/>
                  <w:iCs/>
                  <w:sz w:val="24"/>
                  <w:szCs w:val="24"/>
                </w:rPr>
                <w:t>Laurillard</w:t>
              </w:r>
              <w:proofErr w:type="spellEnd"/>
            </w:hyperlink>
            <w:r w:rsidR="00E2472B">
              <w:rPr>
                <w:iCs/>
                <w:sz w:val="24"/>
                <w:szCs w:val="24"/>
              </w:rPr>
              <w:t xml:space="preserve"> learning activitie</w:t>
            </w:r>
            <w:r w:rsidR="00E2472B" w:rsidRPr="00E2472B">
              <w:rPr>
                <w:iCs/>
                <w:sz w:val="24"/>
                <w:szCs w:val="24"/>
              </w:rPr>
              <w:t xml:space="preserve">s </w:t>
            </w:r>
            <w:r w:rsidR="00E2472B" w:rsidRPr="00E2472B">
              <w:rPr>
                <w:iCs/>
                <w:szCs w:val="24"/>
              </w:rPr>
              <w:t>(shade the applicable cells green)</w:t>
            </w:r>
          </w:p>
        </w:tc>
      </w:tr>
      <w:tr w:rsidR="0073717D" w:rsidTr="0073717D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7D" w:rsidRDefault="0073717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Platform 1: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17D" w:rsidRDefault="0073717D">
            <w:pPr>
              <w:rPr>
                <w:i/>
                <w:iCs/>
              </w:rPr>
            </w:pPr>
            <w:r>
              <w:rPr>
                <w:i/>
                <w:iCs/>
              </w:rPr>
              <w:t>Acquisition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17D" w:rsidRDefault="0073717D">
            <w:pPr>
              <w:rPr>
                <w:i/>
                <w:iCs/>
              </w:rPr>
            </w:pPr>
            <w:r>
              <w:rPr>
                <w:i/>
                <w:iCs/>
              </w:rPr>
              <w:t>Inquiry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17D" w:rsidRDefault="0073717D">
            <w:pPr>
              <w:rPr>
                <w:i/>
                <w:iCs/>
              </w:rPr>
            </w:pPr>
            <w:r>
              <w:rPr>
                <w:i/>
                <w:iCs/>
              </w:rPr>
              <w:t>Discussion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17D" w:rsidRDefault="0073717D">
            <w:pPr>
              <w:rPr>
                <w:i/>
                <w:iCs/>
              </w:rPr>
            </w:pPr>
            <w:r>
              <w:rPr>
                <w:i/>
                <w:iCs/>
              </w:rPr>
              <w:t>Practice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17D" w:rsidRDefault="0073717D">
            <w:pPr>
              <w:rPr>
                <w:i/>
                <w:iCs/>
              </w:rPr>
            </w:pPr>
            <w:r>
              <w:rPr>
                <w:i/>
                <w:iCs/>
              </w:rPr>
              <w:t>Collaborate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17D" w:rsidRDefault="0073717D">
            <w:pPr>
              <w:rPr>
                <w:i/>
                <w:iCs/>
              </w:rPr>
            </w:pPr>
            <w:r>
              <w:rPr>
                <w:i/>
                <w:iCs/>
              </w:rPr>
              <w:t>Production</w:t>
            </w:r>
          </w:p>
        </w:tc>
      </w:tr>
      <w:tr w:rsidR="0073717D" w:rsidTr="0073717D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2B" w:rsidRPr="00E2472B" w:rsidRDefault="00E2472B">
            <w:pPr>
              <w:rPr>
                <w:iCs/>
                <w:sz w:val="24"/>
                <w:szCs w:val="24"/>
              </w:rPr>
            </w:pPr>
            <w:r w:rsidRPr="00E2472B">
              <w:rPr>
                <w:iCs/>
                <w:sz w:val="24"/>
                <w:szCs w:val="24"/>
              </w:rPr>
              <w:t>This case study does not address technical platforms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B" w:rsidRPr="00E2472B" w:rsidRDefault="00E2472B">
            <w:pPr>
              <w:rPr>
                <w:iCs/>
                <w:sz w:val="24"/>
                <w:szCs w:val="24"/>
              </w:rPr>
            </w:pPr>
            <w:r w:rsidRPr="00E2472B">
              <w:rPr>
                <w:iCs/>
                <w:sz w:val="24"/>
                <w:szCs w:val="24"/>
              </w:rPr>
              <w:t xml:space="preserve">See the Appendix </w:t>
            </w:r>
            <w:r>
              <w:rPr>
                <w:iCs/>
                <w:sz w:val="24"/>
                <w:szCs w:val="24"/>
              </w:rPr>
              <w:t xml:space="preserve">1 - </w:t>
            </w:r>
            <w:r w:rsidRPr="00E2472B">
              <w:rPr>
                <w:iCs/>
                <w:sz w:val="24"/>
                <w:szCs w:val="24"/>
              </w:rPr>
              <w:t>for the initial analysis and pairing of modules.</w:t>
            </w:r>
          </w:p>
          <w:p w:rsidR="0073717D" w:rsidRDefault="0073717D">
            <w:pPr>
              <w:rPr>
                <w:i/>
                <w:iCs/>
                <w:sz w:val="24"/>
                <w:szCs w:val="24"/>
              </w:rPr>
            </w:pPr>
          </w:p>
          <w:p w:rsidR="00E2472B" w:rsidRDefault="00E2472B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321F9F" w:rsidRPr="00E86A98" w:rsidRDefault="00321F9F" w:rsidP="00321F9F">
      <w:pPr>
        <w:pStyle w:val="Heading1"/>
        <w:rPr>
          <w:sz w:val="24"/>
          <w:szCs w:val="24"/>
        </w:rPr>
      </w:pPr>
      <w:r w:rsidRPr="00E86A98">
        <w:rPr>
          <w:sz w:val="24"/>
          <w:szCs w:val="24"/>
        </w:rPr>
        <w:t>Profile</w:t>
      </w:r>
    </w:p>
    <w:p w:rsidR="00321F9F" w:rsidRPr="00E86A98" w:rsidRDefault="00321F9F" w:rsidP="00321F9F">
      <w:pPr>
        <w:rPr>
          <w:sz w:val="24"/>
          <w:szCs w:val="24"/>
        </w:rPr>
      </w:pPr>
      <w:r w:rsidRPr="00E86A98">
        <w:rPr>
          <w:sz w:val="24"/>
          <w:szCs w:val="24"/>
        </w:rPr>
        <w:t>Tutor name(s):</w:t>
      </w:r>
      <w:r w:rsidR="00E2472B">
        <w:rPr>
          <w:sz w:val="24"/>
          <w:szCs w:val="24"/>
        </w:rPr>
        <w:t xml:space="preserve">  </w:t>
      </w:r>
      <w:proofErr w:type="spellStart"/>
      <w:r w:rsidR="00E2472B">
        <w:rPr>
          <w:sz w:val="24"/>
          <w:szCs w:val="24"/>
        </w:rPr>
        <w:t>Kaeran</w:t>
      </w:r>
      <w:proofErr w:type="spellEnd"/>
      <w:r w:rsidR="00E2472B">
        <w:rPr>
          <w:sz w:val="24"/>
          <w:szCs w:val="24"/>
        </w:rPr>
        <w:t xml:space="preserve"> Van Vliet</w:t>
      </w:r>
    </w:p>
    <w:p w:rsidR="00321F9F" w:rsidRPr="00E86A98" w:rsidRDefault="00745A49" w:rsidP="00321F9F">
      <w:pPr>
        <w:rPr>
          <w:sz w:val="24"/>
          <w:szCs w:val="24"/>
        </w:rPr>
      </w:pPr>
      <w:r>
        <w:rPr>
          <w:sz w:val="24"/>
          <w:szCs w:val="24"/>
        </w:rPr>
        <w:t>College</w:t>
      </w:r>
      <w:r w:rsidR="00321F9F" w:rsidRPr="00E86A9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2472B">
        <w:rPr>
          <w:sz w:val="24"/>
          <w:szCs w:val="24"/>
        </w:rPr>
        <w:t xml:space="preserve"> SSA</w:t>
      </w:r>
    </w:p>
    <w:p w:rsidR="00321F9F" w:rsidRPr="00E86A98" w:rsidRDefault="00321F9F" w:rsidP="00321F9F">
      <w:pPr>
        <w:rPr>
          <w:sz w:val="24"/>
          <w:szCs w:val="24"/>
        </w:rPr>
      </w:pPr>
      <w:r w:rsidRPr="00E86A98">
        <w:rPr>
          <w:sz w:val="24"/>
          <w:szCs w:val="24"/>
        </w:rPr>
        <w:t>Size of cohort:</w:t>
      </w:r>
      <w:r w:rsidR="00434E0B">
        <w:rPr>
          <w:sz w:val="24"/>
          <w:szCs w:val="24"/>
        </w:rPr>
        <w:t xml:space="preserve"> </w:t>
      </w:r>
      <w:r w:rsidR="00E2472B">
        <w:rPr>
          <w:sz w:val="24"/>
          <w:szCs w:val="24"/>
        </w:rPr>
        <w:t>Circa 15</w:t>
      </w:r>
    </w:p>
    <w:p w:rsidR="00321F9F" w:rsidRDefault="00321F9F" w:rsidP="00321F9F">
      <w:pPr>
        <w:rPr>
          <w:sz w:val="24"/>
          <w:szCs w:val="24"/>
        </w:rPr>
      </w:pPr>
      <w:r w:rsidRPr="00E86A98">
        <w:rPr>
          <w:sz w:val="24"/>
          <w:szCs w:val="24"/>
        </w:rPr>
        <w:t>Key themes:</w:t>
      </w:r>
      <w:r w:rsidR="00434E0B">
        <w:rPr>
          <w:sz w:val="24"/>
          <w:szCs w:val="24"/>
        </w:rPr>
        <w:t xml:space="preserve"> On-line; </w:t>
      </w:r>
      <w:r w:rsidR="00E2472B">
        <w:rPr>
          <w:sz w:val="24"/>
          <w:szCs w:val="24"/>
        </w:rPr>
        <w:t xml:space="preserve">Town Planning, </w:t>
      </w:r>
      <w:r w:rsidR="00434E0B">
        <w:rPr>
          <w:sz w:val="24"/>
          <w:szCs w:val="24"/>
        </w:rPr>
        <w:t xml:space="preserve">work based learning; </w:t>
      </w:r>
      <w:r w:rsidR="00E2472B">
        <w:rPr>
          <w:sz w:val="24"/>
          <w:szCs w:val="24"/>
        </w:rPr>
        <w:t xml:space="preserve">Curriculum Design Module Pairing, Employer Engagement, </w:t>
      </w:r>
      <w:r w:rsidR="0038037C">
        <w:rPr>
          <w:sz w:val="24"/>
          <w:szCs w:val="24"/>
        </w:rPr>
        <w:t xml:space="preserve">WBL Projects, </w:t>
      </w:r>
      <w:proofErr w:type="spellStart"/>
      <w:r w:rsidR="00E2472B">
        <w:rPr>
          <w:sz w:val="24"/>
          <w:szCs w:val="24"/>
        </w:rPr>
        <w:t>Heutoagogic</w:t>
      </w:r>
      <w:proofErr w:type="spellEnd"/>
      <w:r w:rsidR="00E2472B">
        <w:rPr>
          <w:sz w:val="24"/>
          <w:szCs w:val="24"/>
        </w:rPr>
        <w:t>.</w:t>
      </w:r>
    </w:p>
    <w:p w:rsidR="001A3A3A" w:rsidRDefault="001A3A3A" w:rsidP="00321F9F">
      <w:pPr>
        <w:rPr>
          <w:sz w:val="24"/>
          <w:szCs w:val="24"/>
        </w:rPr>
      </w:pPr>
    </w:p>
    <w:p w:rsidR="001A3A3A" w:rsidRDefault="001A3A3A" w:rsidP="00321F9F">
      <w:pPr>
        <w:rPr>
          <w:sz w:val="24"/>
          <w:szCs w:val="24"/>
        </w:rPr>
        <w:sectPr w:rsidR="001A3A3A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3A3A" w:rsidRPr="001A3A3A" w:rsidRDefault="001A3A3A" w:rsidP="001A3A3A">
      <w:pPr>
        <w:rPr>
          <w:b/>
        </w:rPr>
      </w:pPr>
      <w:r w:rsidRPr="001A3A3A">
        <w:rPr>
          <w:b/>
        </w:rPr>
        <w:lastRenderedPageBreak/>
        <w:t>Appendix: MSc Urban Planning Delivery routes 20/21 -</w:t>
      </w:r>
      <w:r>
        <w:rPr>
          <w:b/>
        </w:rPr>
        <w:t xml:space="preserve"> </w:t>
      </w:r>
      <w:r w:rsidRPr="001A3A3A">
        <w:rPr>
          <w:b/>
        </w:rPr>
        <w:t xml:space="preserve">Current </w:t>
      </w:r>
      <w:r>
        <w:rPr>
          <w:b/>
        </w:rPr>
        <w:t>DA Delivery Pattern and P</w:t>
      </w:r>
      <w:r w:rsidRPr="001A3A3A">
        <w:rPr>
          <w:b/>
        </w:rPr>
        <w:t>airings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3"/>
        <w:gridCol w:w="1779"/>
        <w:gridCol w:w="1782"/>
        <w:gridCol w:w="1427"/>
        <w:gridCol w:w="1795"/>
        <w:gridCol w:w="1682"/>
        <w:gridCol w:w="2014"/>
        <w:gridCol w:w="2262"/>
      </w:tblGrid>
      <w:tr w:rsidR="001A3A3A" w:rsidRPr="000A462E" w:rsidTr="00F31823"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490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Year 1</w:t>
            </w:r>
          </w:p>
        </w:tc>
        <w:tc>
          <w:tcPr>
            <w:tcW w:w="553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Year 2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Year 3</w:t>
            </w:r>
          </w:p>
        </w:tc>
      </w:tr>
      <w:tr w:rsidR="001A3A3A" w:rsidRPr="000A462E" w:rsidTr="00F31823"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Semester 3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  <w:r w:rsidRPr="000A462E">
              <w:rPr>
                <w:b/>
                <w:sz w:val="22"/>
                <w:szCs w:val="22"/>
              </w:rPr>
              <w:t>Semester 3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1A3A3A" w:rsidRPr="000A462E" w:rsidRDefault="001A3A3A" w:rsidP="00F31823">
            <w:pPr>
              <w:rPr>
                <w:b/>
                <w:sz w:val="22"/>
                <w:szCs w:val="22"/>
              </w:rPr>
            </w:pPr>
          </w:p>
        </w:tc>
      </w:tr>
      <w:tr w:rsidR="001A3A3A" w:rsidTr="00F31823"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stage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apprentice learners adapting -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Establishing learners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Established learners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Pr="000B66B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Established learners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Experienced learners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Experienced learners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Experienced learners</w:t>
            </w:r>
          </w:p>
        </w:tc>
      </w:tr>
      <w:tr w:rsidR="001A3A3A" w:rsidTr="00F31823"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 w:rsidRPr="00C854DE">
              <w:rPr>
                <w:sz w:val="22"/>
                <w:szCs w:val="22"/>
              </w:rPr>
              <w:t>Focus and themes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 w:rsidRPr="00C854DE">
              <w:rPr>
                <w:sz w:val="22"/>
                <w:szCs w:val="22"/>
              </w:rPr>
              <w:t xml:space="preserve">Planning context, issues, strategy  </w:t>
            </w:r>
            <w:r>
              <w:rPr>
                <w:sz w:val="22"/>
                <w:szCs w:val="22"/>
              </w:rPr>
              <w:t>&amp;</w:t>
            </w:r>
            <w:r w:rsidRPr="00C854DE">
              <w:rPr>
                <w:sz w:val="22"/>
                <w:szCs w:val="22"/>
              </w:rPr>
              <w:t xml:space="preserve"> policy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 w:rsidRPr="00C854DE">
              <w:rPr>
                <w:sz w:val="22"/>
                <w:szCs w:val="22"/>
              </w:rPr>
              <w:t xml:space="preserve">Planning Implementation: Design and Development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 w:rsidRPr="00C854DE">
              <w:rPr>
                <w:sz w:val="22"/>
                <w:szCs w:val="22"/>
              </w:rPr>
              <w:t>Professional Project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 w:rsidRPr="00C854DE">
              <w:rPr>
                <w:sz w:val="22"/>
                <w:szCs w:val="22"/>
              </w:rPr>
              <w:t>Environmental and Human well being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 w:rsidRPr="00C854DE">
              <w:rPr>
                <w:sz w:val="22"/>
                <w:szCs w:val="22"/>
              </w:rPr>
              <w:t>Specialist focus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 w:rsidRPr="00C854DE">
              <w:rPr>
                <w:sz w:val="22"/>
                <w:szCs w:val="22"/>
              </w:rPr>
              <w:t>Specialist focus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 w:rsidRPr="00C854DE">
              <w:rPr>
                <w:sz w:val="22"/>
                <w:szCs w:val="22"/>
              </w:rPr>
              <w:t>Specialist focus</w:t>
            </w:r>
          </w:p>
        </w:tc>
      </w:tr>
      <w:tr w:rsidR="001A3A3A" w:rsidTr="00F31823"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4A9A4" w:themeFill="accent3" w:themeFillTint="99"/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 w:rsidRPr="00C854DE">
              <w:rPr>
                <w:sz w:val="22"/>
                <w:szCs w:val="22"/>
              </w:rPr>
              <w:t>Modules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4A9A4" w:themeFill="accent3" w:themeFillTint="99"/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854DE">
              <w:rPr>
                <w:sz w:val="22"/>
                <w:szCs w:val="22"/>
              </w:rPr>
              <w:t>DA Planning Theory and Context</w:t>
            </w:r>
          </w:p>
          <w:p w:rsidR="001A3A3A" w:rsidRPr="00C854DE" w:rsidRDefault="001A3A3A" w:rsidP="00F31823">
            <w:pPr>
              <w:rPr>
                <w:sz w:val="22"/>
                <w:szCs w:val="22"/>
              </w:rPr>
            </w:pPr>
          </w:p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C854DE">
              <w:rPr>
                <w:sz w:val="22"/>
                <w:szCs w:val="22"/>
              </w:rPr>
              <w:t>DA Policies for Space and Place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A9A4" w:themeFill="accent3" w:themeFillTint="99"/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854DE">
              <w:rPr>
                <w:sz w:val="22"/>
                <w:szCs w:val="22"/>
              </w:rPr>
              <w:t>DA Housing Planning and Development</w:t>
            </w:r>
          </w:p>
          <w:p w:rsidR="001A3A3A" w:rsidRPr="00C854DE" w:rsidRDefault="001A3A3A" w:rsidP="00F31823">
            <w:pPr>
              <w:rPr>
                <w:sz w:val="22"/>
                <w:szCs w:val="22"/>
              </w:rPr>
            </w:pPr>
          </w:p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C854DE">
              <w:rPr>
                <w:sz w:val="22"/>
                <w:szCs w:val="22"/>
              </w:rPr>
              <w:t>DA Shaping Places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4A9A4" w:themeFill="accent3" w:themeFillTint="99"/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854DE">
              <w:rPr>
                <w:sz w:val="22"/>
                <w:szCs w:val="22"/>
              </w:rPr>
              <w:t>DA Professional Project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4A9A4" w:themeFill="accent3" w:themeFillTint="99"/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854DE">
              <w:rPr>
                <w:sz w:val="22"/>
                <w:szCs w:val="22"/>
              </w:rPr>
              <w:t xml:space="preserve">DA Environment </w:t>
            </w:r>
            <w:r>
              <w:rPr>
                <w:sz w:val="22"/>
                <w:szCs w:val="22"/>
              </w:rPr>
              <w:t>&amp;</w:t>
            </w:r>
            <w:r w:rsidRPr="00C854DE">
              <w:rPr>
                <w:sz w:val="22"/>
                <w:szCs w:val="22"/>
              </w:rPr>
              <w:t xml:space="preserve"> Infrastructure</w:t>
            </w:r>
          </w:p>
          <w:p w:rsidR="001A3A3A" w:rsidRPr="00C854DE" w:rsidRDefault="001A3A3A" w:rsidP="00F31823">
            <w:pPr>
              <w:rPr>
                <w:sz w:val="22"/>
                <w:szCs w:val="22"/>
              </w:rPr>
            </w:pPr>
          </w:p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C854DE">
              <w:rPr>
                <w:sz w:val="22"/>
                <w:szCs w:val="22"/>
              </w:rPr>
              <w:t>DA Sustainable City Ecologies</w:t>
            </w:r>
          </w:p>
          <w:p w:rsidR="001A3A3A" w:rsidRDefault="001A3A3A" w:rsidP="00F31823">
            <w:pPr>
              <w:rPr>
                <w:sz w:val="22"/>
                <w:szCs w:val="22"/>
              </w:rPr>
            </w:pPr>
          </w:p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DA Applied Research Methods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A9A4" w:themeFill="accent3" w:themeFillTint="99"/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854DE">
              <w:rPr>
                <w:sz w:val="22"/>
                <w:szCs w:val="22"/>
              </w:rPr>
              <w:t xml:space="preserve">DA  Healthy Places </w:t>
            </w:r>
          </w:p>
          <w:p w:rsidR="001A3A3A" w:rsidRPr="00C854DE" w:rsidRDefault="001A3A3A" w:rsidP="00F31823">
            <w:pPr>
              <w:rPr>
                <w:sz w:val="22"/>
                <w:szCs w:val="22"/>
              </w:rPr>
            </w:pPr>
          </w:p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C854DE">
              <w:rPr>
                <w:sz w:val="22"/>
                <w:szCs w:val="22"/>
              </w:rPr>
              <w:t>DA Planning and Growth</w:t>
            </w:r>
          </w:p>
          <w:p w:rsidR="001A3A3A" w:rsidRDefault="001A3A3A" w:rsidP="00F31823">
            <w:pPr>
              <w:rPr>
                <w:sz w:val="22"/>
                <w:szCs w:val="22"/>
              </w:rPr>
            </w:pPr>
          </w:p>
          <w:p w:rsidR="001A3A3A" w:rsidRDefault="001A3A3A" w:rsidP="00F31823">
            <w:pPr>
              <w:rPr>
                <w:sz w:val="22"/>
                <w:szCs w:val="22"/>
              </w:rPr>
            </w:pPr>
          </w:p>
          <w:p w:rsidR="001A3A3A" w:rsidRDefault="001A3A3A" w:rsidP="00F31823">
            <w:pPr>
              <w:rPr>
                <w:sz w:val="22"/>
                <w:szCs w:val="22"/>
              </w:rPr>
            </w:pPr>
          </w:p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Applied Research Methods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4A9A4" w:themeFill="accent3" w:themeFillTint="99"/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854DE">
              <w:rPr>
                <w:sz w:val="22"/>
                <w:szCs w:val="22"/>
              </w:rPr>
              <w:t>DA Applied Dissertation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4A9A4" w:themeFill="accent3" w:themeFillTint="99"/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854DE">
              <w:rPr>
                <w:sz w:val="22"/>
                <w:szCs w:val="22"/>
              </w:rPr>
              <w:t>DA Applied Dissertation</w:t>
            </w:r>
          </w:p>
        </w:tc>
      </w:tr>
      <w:tr w:rsidR="001A3A3A" w:rsidTr="00F31823"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LTA support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module tutors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module tutors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tutor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module tutors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module tutors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tutor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tutor </w:t>
            </w:r>
          </w:p>
        </w:tc>
      </w:tr>
      <w:tr w:rsidR="001A3A3A" w:rsidTr="00F31823"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Ideal work areas </w:t>
            </w:r>
            <w:r w:rsidRPr="000A462E">
              <w:rPr>
                <w:b/>
                <w:i/>
                <w:sz w:val="22"/>
                <w:szCs w:val="22"/>
              </w:rPr>
              <w:t>private sector</w:t>
            </w:r>
            <w:r w:rsidRPr="000A462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research</w:t>
            </w:r>
          </w:p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development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Scheme/project development and application process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 Specialist area</w:t>
            </w:r>
          </w:p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KSB gap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and human interaction at any scale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or social  aspects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 specialist area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 specialist area</w:t>
            </w:r>
          </w:p>
        </w:tc>
      </w:tr>
      <w:tr w:rsidR="001A3A3A" w:rsidTr="00F31823"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Pr="00C854DE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Ideal work areas - </w:t>
            </w:r>
            <w:r w:rsidRPr="000A462E">
              <w:rPr>
                <w:b/>
                <w:i/>
                <w:sz w:val="22"/>
                <w:szCs w:val="22"/>
              </w:rPr>
              <w:t>public sector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Policy and plan development 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management</w:t>
            </w:r>
          </w:p>
          <w:p w:rsidR="001A3A3A" w:rsidRDefault="001A3A3A" w:rsidP="00F31823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 Specialist area</w:t>
            </w:r>
          </w:p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KSB gap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and Human wellbeing at any scale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or social  aspects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 in specialist area</w:t>
            </w:r>
          </w:p>
          <w:p w:rsidR="001A3A3A" w:rsidRDefault="001A3A3A" w:rsidP="00F31823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  specialist area</w:t>
            </w:r>
          </w:p>
          <w:p w:rsidR="001A3A3A" w:rsidRDefault="001A3A3A" w:rsidP="00F31823">
            <w:pPr>
              <w:rPr>
                <w:sz w:val="22"/>
                <w:szCs w:val="22"/>
              </w:rPr>
            </w:pPr>
          </w:p>
        </w:tc>
      </w:tr>
      <w:tr w:rsidR="001A3A3A" w:rsidTr="00F31823"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Approaches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</w:p>
          <w:p w:rsidR="001A3A3A" w:rsidRDefault="001A3A3A" w:rsidP="00F3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A3A" w:rsidRDefault="001A3A3A" w:rsidP="00F31823">
            <w:pPr>
              <w:rPr>
                <w:sz w:val="22"/>
                <w:szCs w:val="22"/>
              </w:rPr>
            </w:pPr>
          </w:p>
        </w:tc>
      </w:tr>
    </w:tbl>
    <w:p w:rsidR="001A3A3A" w:rsidRPr="00E86A98" w:rsidRDefault="001A3A3A" w:rsidP="001A3A3A">
      <w:pPr>
        <w:rPr>
          <w:sz w:val="24"/>
          <w:szCs w:val="24"/>
        </w:rPr>
      </w:pPr>
    </w:p>
    <w:sectPr w:rsidR="001A3A3A" w:rsidRPr="00E86A98" w:rsidSect="001A3A3A"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82" w:rsidRDefault="00AD1E82" w:rsidP="00321F9F">
      <w:pPr>
        <w:spacing w:after="0" w:line="240" w:lineRule="auto"/>
      </w:pPr>
      <w:r>
        <w:separator/>
      </w:r>
    </w:p>
  </w:endnote>
  <w:endnote w:type="continuationSeparator" w:id="0">
    <w:p w:rsidR="00AD1E82" w:rsidRDefault="00AD1E82" w:rsidP="0032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1A" w:rsidRDefault="0079741A" w:rsidP="00E86A9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82" w:rsidRDefault="00AD1E82" w:rsidP="00321F9F">
      <w:pPr>
        <w:spacing w:after="0" w:line="240" w:lineRule="auto"/>
      </w:pPr>
      <w:r>
        <w:separator/>
      </w:r>
    </w:p>
  </w:footnote>
  <w:footnote w:type="continuationSeparator" w:id="0">
    <w:p w:rsidR="00AD1E82" w:rsidRDefault="00AD1E82" w:rsidP="0032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9F" w:rsidRPr="00EC0432" w:rsidRDefault="00EC0432">
    <w:pPr>
      <w:pStyle w:val="Header"/>
      <w:rPr>
        <w:sz w:val="22"/>
        <w:szCs w:val="24"/>
      </w:rPr>
    </w:pPr>
    <w:r w:rsidRPr="00EC0432">
      <w:rPr>
        <w:sz w:val="22"/>
        <w:szCs w:val="24"/>
      </w:rPr>
      <w:t xml:space="preserve">Blended Learning for WBL </w:t>
    </w:r>
    <w:r w:rsidR="009D55A3" w:rsidRPr="00EC0432">
      <w:rPr>
        <w:sz w:val="22"/>
        <w:szCs w:val="24"/>
      </w:rPr>
      <w:t>Case Study</w:t>
    </w:r>
    <w:r w:rsidRPr="00EC0432">
      <w:rPr>
        <w:sz w:val="22"/>
        <w:szCs w:val="24"/>
      </w:rPr>
      <w:t xml:space="preserve"> - Pairing Modules to Support Employer Engagement (Town Planning)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8FB"/>
    <w:multiLevelType w:val="hybridMultilevel"/>
    <w:tmpl w:val="5918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6266"/>
    <w:multiLevelType w:val="hybridMultilevel"/>
    <w:tmpl w:val="44EC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33C2"/>
    <w:multiLevelType w:val="hybridMultilevel"/>
    <w:tmpl w:val="CCA0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914EB"/>
    <w:multiLevelType w:val="hybridMultilevel"/>
    <w:tmpl w:val="4B30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B2745"/>
    <w:multiLevelType w:val="hybridMultilevel"/>
    <w:tmpl w:val="5A44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232D"/>
    <w:multiLevelType w:val="hybridMultilevel"/>
    <w:tmpl w:val="56CC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6D08"/>
    <w:multiLevelType w:val="hybridMultilevel"/>
    <w:tmpl w:val="4340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F"/>
    <w:rsid w:val="000B56BA"/>
    <w:rsid w:val="00117EB2"/>
    <w:rsid w:val="001A3A3A"/>
    <w:rsid w:val="00201A54"/>
    <w:rsid w:val="00311D8D"/>
    <w:rsid w:val="00321F9F"/>
    <w:rsid w:val="003501E4"/>
    <w:rsid w:val="00350CCB"/>
    <w:rsid w:val="0038037C"/>
    <w:rsid w:val="00434E0B"/>
    <w:rsid w:val="00505A69"/>
    <w:rsid w:val="00524313"/>
    <w:rsid w:val="00644A40"/>
    <w:rsid w:val="006571A2"/>
    <w:rsid w:val="00683F32"/>
    <w:rsid w:val="006E4474"/>
    <w:rsid w:val="0073717D"/>
    <w:rsid w:val="00745A49"/>
    <w:rsid w:val="00771915"/>
    <w:rsid w:val="0079741A"/>
    <w:rsid w:val="007D2FA5"/>
    <w:rsid w:val="00841BD4"/>
    <w:rsid w:val="00845619"/>
    <w:rsid w:val="00864D9F"/>
    <w:rsid w:val="008E611C"/>
    <w:rsid w:val="009D55A3"/>
    <w:rsid w:val="00A017B5"/>
    <w:rsid w:val="00AD1E82"/>
    <w:rsid w:val="00B16D2A"/>
    <w:rsid w:val="00C36B5C"/>
    <w:rsid w:val="00E2472B"/>
    <w:rsid w:val="00E86A98"/>
    <w:rsid w:val="00EC0432"/>
    <w:rsid w:val="00EE4352"/>
    <w:rsid w:val="00EF0A62"/>
    <w:rsid w:val="00EF4138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A98"/>
    <w:pPr>
      <w:pBdr>
        <w:top w:val="single" w:sz="24" w:space="0" w:color="838D9B" w:themeColor="accent1"/>
        <w:left w:val="single" w:sz="24" w:space="0" w:color="838D9B" w:themeColor="accent1"/>
        <w:bottom w:val="single" w:sz="24" w:space="0" w:color="838D9B" w:themeColor="accent1"/>
        <w:right w:val="single" w:sz="24" w:space="0" w:color="838D9B" w:themeColor="accent1"/>
      </w:pBdr>
      <w:shd w:val="clear" w:color="auto" w:fill="838D9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A98"/>
    <w:pPr>
      <w:pBdr>
        <w:top w:val="single" w:sz="24" w:space="0" w:color="E6E8EB" w:themeColor="accent1" w:themeTint="33"/>
        <w:left w:val="single" w:sz="24" w:space="0" w:color="E6E8EB" w:themeColor="accent1" w:themeTint="33"/>
        <w:bottom w:val="single" w:sz="24" w:space="0" w:color="E6E8EB" w:themeColor="accent1" w:themeTint="33"/>
        <w:right w:val="single" w:sz="24" w:space="0" w:color="E6E8EB" w:themeColor="accent1" w:themeTint="33"/>
      </w:pBdr>
      <w:shd w:val="clear" w:color="auto" w:fill="E6E8E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A98"/>
    <w:pPr>
      <w:pBdr>
        <w:top w:val="single" w:sz="6" w:space="2" w:color="838D9B" w:themeColor="accent1"/>
        <w:left w:val="single" w:sz="6" w:space="2" w:color="838D9B" w:themeColor="accent1"/>
      </w:pBdr>
      <w:spacing w:before="300" w:after="0"/>
      <w:outlineLvl w:val="2"/>
    </w:pPr>
    <w:rPr>
      <w:caps/>
      <w:color w:val="3F454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A98"/>
    <w:pPr>
      <w:pBdr>
        <w:top w:val="dotted" w:sz="6" w:space="2" w:color="838D9B" w:themeColor="accent1"/>
        <w:left w:val="dotted" w:sz="6" w:space="2" w:color="838D9B" w:themeColor="accent1"/>
      </w:pBdr>
      <w:spacing w:before="300" w:after="0"/>
      <w:outlineLvl w:val="3"/>
    </w:pPr>
    <w:rPr>
      <w:caps/>
      <w:color w:val="5F697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A98"/>
    <w:pPr>
      <w:pBdr>
        <w:bottom w:val="single" w:sz="6" w:space="1" w:color="838D9B" w:themeColor="accent1"/>
      </w:pBdr>
      <w:spacing w:before="300" w:after="0"/>
      <w:outlineLvl w:val="4"/>
    </w:pPr>
    <w:rPr>
      <w:caps/>
      <w:color w:val="5F697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A98"/>
    <w:pPr>
      <w:pBdr>
        <w:bottom w:val="dotted" w:sz="6" w:space="1" w:color="838D9B" w:themeColor="accent1"/>
      </w:pBdr>
      <w:spacing w:before="300" w:after="0"/>
      <w:outlineLvl w:val="5"/>
    </w:pPr>
    <w:rPr>
      <w:caps/>
      <w:color w:val="5F697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A98"/>
    <w:pPr>
      <w:spacing w:before="300" w:after="0"/>
      <w:outlineLvl w:val="6"/>
    </w:pPr>
    <w:rPr>
      <w:caps/>
      <w:color w:val="5F697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A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A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9F"/>
  </w:style>
  <w:style w:type="paragraph" w:styleId="Footer">
    <w:name w:val="footer"/>
    <w:basedOn w:val="Normal"/>
    <w:link w:val="FooterChar"/>
    <w:uiPriority w:val="99"/>
    <w:unhideWhenUsed/>
    <w:rsid w:val="0032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9F"/>
  </w:style>
  <w:style w:type="character" w:customStyle="1" w:styleId="Heading1Char">
    <w:name w:val="Heading 1 Char"/>
    <w:basedOn w:val="DefaultParagraphFont"/>
    <w:link w:val="Heading1"/>
    <w:uiPriority w:val="9"/>
    <w:rsid w:val="00E86A98"/>
    <w:rPr>
      <w:b/>
      <w:bCs/>
      <w:caps/>
      <w:color w:val="FFFFFF" w:themeColor="background1"/>
      <w:spacing w:val="15"/>
      <w:shd w:val="clear" w:color="auto" w:fill="838D9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6A98"/>
    <w:rPr>
      <w:caps/>
      <w:spacing w:val="15"/>
      <w:shd w:val="clear" w:color="auto" w:fill="E6E8E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A98"/>
    <w:rPr>
      <w:caps/>
      <w:color w:val="3F454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A98"/>
    <w:rPr>
      <w:caps/>
      <w:color w:val="5F697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A98"/>
    <w:rPr>
      <w:caps/>
      <w:color w:val="5F697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A98"/>
    <w:rPr>
      <w:caps/>
      <w:color w:val="5F697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A98"/>
    <w:rPr>
      <w:caps/>
      <w:color w:val="5F697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A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A9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A98"/>
    <w:rPr>
      <w:b/>
      <w:bCs/>
      <w:color w:val="5F697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A98"/>
    <w:pPr>
      <w:spacing w:before="720"/>
    </w:pPr>
    <w:rPr>
      <w:caps/>
      <w:color w:val="838D9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A98"/>
    <w:rPr>
      <w:caps/>
      <w:color w:val="838D9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A9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A9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86A98"/>
    <w:rPr>
      <w:b/>
      <w:bCs/>
    </w:rPr>
  </w:style>
  <w:style w:type="character" w:styleId="Emphasis">
    <w:name w:val="Emphasis"/>
    <w:uiPriority w:val="20"/>
    <w:qFormat/>
    <w:rsid w:val="00E86A98"/>
    <w:rPr>
      <w:caps/>
      <w:color w:val="3F454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86A9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6A9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86A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A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6A9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A98"/>
    <w:pPr>
      <w:pBdr>
        <w:top w:val="single" w:sz="4" w:space="10" w:color="838D9B" w:themeColor="accent1"/>
        <w:left w:val="single" w:sz="4" w:space="10" w:color="838D9B" w:themeColor="accent1"/>
      </w:pBdr>
      <w:spacing w:after="0"/>
      <w:ind w:left="1296" w:right="1152"/>
      <w:jc w:val="both"/>
    </w:pPr>
    <w:rPr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A98"/>
    <w:rPr>
      <w:i/>
      <w:iCs/>
      <w:color w:val="838D9B" w:themeColor="accent1"/>
      <w:sz w:val="20"/>
      <w:szCs w:val="20"/>
    </w:rPr>
  </w:style>
  <w:style w:type="character" w:styleId="SubtleEmphasis">
    <w:name w:val="Subtle Emphasis"/>
    <w:uiPriority w:val="19"/>
    <w:qFormat/>
    <w:rsid w:val="00E86A98"/>
    <w:rPr>
      <w:i/>
      <w:iCs/>
      <w:color w:val="3F454E" w:themeColor="accent1" w:themeShade="7F"/>
    </w:rPr>
  </w:style>
  <w:style w:type="character" w:styleId="IntenseEmphasis">
    <w:name w:val="Intense Emphasis"/>
    <w:uiPriority w:val="21"/>
    <w:qFormat/>
    <w:rsid w:val="00E86A98"/>
    <w:rPr>
      <w:b/>
      <w:bCs/>
      <w:caps/>
      <w:color w:val="3F454E" w:themeColor="accent1" w:themeShade="7F"/>
      <w:spacing w:val="10"/>
    </w:rPr>
  </w:style>
  <w:style w:type="character" w:styleId="SubtleReference">
    <w:name w:val="Subtle Reference"/>
    <w:uiPriority w:val="31"/>
    <w:qFormat/>
    <w:rsid w:val="00E86A98"/>
    <w:rPr>
      <w:b/>
      <w:bCs/>
      <w:color w:val="838D9B" w:themeColor="accent1"/>
    </w:rPr>
  </w:style>
  <w:style w:type="character" w:styleId="IntenseReference">
    <w:name w:val="Intense Reference"/>
    <w:uiPriority w:val="32"/>
    <w:qFormat/>
    <w:rsid w:val="00E86A98"/>
    <w:rPr>
      <w:b/>
      <w:bCs/>
      <w:i/>
      <w:iCs/>
      <w:caps/>
      <w:color w:val="838D9B" w:themeColor="accent1"/>
    </w:rPr>
  </w:style>
  <w:style w:type="character" w:styleId="BookTitle">
    <w:name w:val="Book Title"/>
    <w:uiPriority w:val="33"/>
    <w:qFormat/>
    <w:rsid w:val="00E86A9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A9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3717D"/>
    <w:rPr>
      <w:color w:val="6187E3" w:themeColor="hyperlink"/>
      <w:u w:val="single"/>
    </w:rPr>
  </w:style>
  <w:style w:type="table" w:styleId="TableGrid">
    <w:name w:val="Table Grid"/>
    <w:basedOn w:val="TableNormal"/>
    <w:uiPriority w:val="59"/>
    <w:rsid w:val="0073717D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B5C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A98"/>
    <w:pPr>
      <w:pBdr>
        <w:top w:val="single" w:sz="24" w:space="0" w:color="838D9B" w:themeColor="accent1"/>
        <w:left w:val="single" w:sz="24" w:space="0" w:color="838D9B" w:themeColor="accent1"/>
        <w:bottom w:val="single" w:sz="24" w:space="0" w:color="838D9B" w:themeColor="accent1"/>
        <w:right w:val="single" w:sz="24" w:space="0" w:color="838D9B" w:themeColor="accent1"/>
      </w:pBdr>
      <w:shd w:val="clear" w:color="auto" w:fill="838D9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A98"/>
    <w:pPr>
      <w:pBdr>
        <w:top w:val="single" w:sz="24" w:space="0" w:color="E6E8EB" w:themeColor="accent1" w:themeTint="33"/>
        <w:left w:val="single" w:sz="24" w:space="0" w:color="E6E8EB" w:themeColor="accent1" w:themeTint="33"/>
        <w:bottom w:val="single" w:sz="24" w:space="0" w:color="E6E8EB" w:themeColor="accent1" w:themeTint="33"/>
        <w:right w:val="single" w:sz="24" w:space="0" w:color="E6E8EB" w:themeColor="accent1" w:themeTint="33"/>
      </w:pBdr>
      <w:shd w:val="clear" w:color="auto" w:fill="E6E8E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A98"/>
    <w:pPr>
      <w:pBdr>
        <w:top w:val="single" w:sz="6" w:space="2" w:color="838D9B" w:themeColor="accent1"/>
        <w:left w:val="single" w:sz="6" w:space="2" w:color="838D9B" w:themeColor="accent1"/>
      </w:pBdr>
      <w:spacing w:before="300" w:after="0"/>
      <w:outlineLvl w:val="2"/>
    </w:pPr>
    <w:rPr>
      <w:caps/>
      <w:color w:val="3F454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A98"/>
    <w:pPr>
      <w:pBdr>
        <w:top w:val="dotted" w:sz="6" w:space="2" w:color="838D9B" w:themeColor="accent1"/>
        <w:left w:val="dotted" w:sz="6" w:space="2" w:color="838D9B" w:themeColor="accent1"/>
      </w:pBdr>
      <w:spacing w:before="300" w:after="0"/>
      <w:outlineLvl w:val="3"/>
    </w:pPr>
    <w:rPr>
      <w:caps/>
      <w:color w:val="5F697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A98"/>
    <w:pPr>
      <w:pBdr>
        <w:bottom w:val="single" w:sz="6" w:space="1" w:color="838D9B" w:themeColor="accent1"/>
      </w:pBdr>
      <w:spacing w:before="300" w:after="0"/>
      <w:outlineLvl w:val="4"/>
    </w:pPr>
    <w:rPr>
      <w:caps/>
      <w:color w:val="5F697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A98"/>
    <w:pPr>
      <w:pBdr>
        <w:bottom w:val="dotted" w:sz="6" w:space="1" w:color="838D9B" w:themeColor="accent1"/>
      </w:pBdr>
      <w:spacing w:before="300" w:after="0"/>
      <w:outlineLvl w:val="5"/>
    </w:pPr>
    <w:rPr>
      <w:caps/>
      <w:color w:val="5F697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A98"/>
    <w:pPr>
      <w:spacing w:before="300" w:after="0"/>
      <w:outlineLvl w:val="6"/>
    </w:pPr>
    <w:rPr>
      <w:caps/>
      <w:color w:val="5F697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A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A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9F"/>
  </w:style>
  <w:style w:type="paragraph" w:styleId="Footer">
    <w:name w:val="footer"/>
    <w:basedOn w:val="Normal"/>
    <w:link w:val="FooterChar"/>
    <w:uiPriority w:val="99"/>
    <w:unhideWhenUsed/>
    <w:rsid w:val="0032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9F"/>
  </w:style>
  <w:style w:type="character" w:customStyle="1" w:styleId="Heading1Char">
    <w:name w:val="Heading 1 Char"/>
    <w:basedOn w:val="DefaultParagraphFont"/>
    <w:link w:val="Heading1"/>
    <w:uiPriority w:val="9"/>
    <w:rsid w:val="00E86A98"/>
    <w:rPr>
      <w:b/>
      <w:bCs/>
      <w:caps/>
      <w:color w:val="FFFFFF" w:themeColor="background1"/>
      <w:spacing w:val="15"/>
      <w:shd w:val="clear" w:color="auto" w:fill="838D9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6A98"/>
    <w:rPr>
      <w:caps/>
      <w:spacing w:val="15"/>
      <w:shd w:val="clear" w:color="auto" w:fill="E6E8E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A98"/>
    <w:rPr>
      <w:caps/>
      <w:color w:val="3F454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A98"/>
    <w:rPr>
      <w:caps/>
      <w:color w:val="5F697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A98"/>
    <w:rPr>
      <w:caps/>
      <w:color w:val="5F697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A98"/>
    <w:rPr>
      <w:caps/>
      <w:color w:val="5F697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A98"/>
    <w:rPr>
      <w:caps/>
      <w:color w:val="5F697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A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A9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A98"/>
    <w:rPr>
      <w:b/>
      <w:bCs/>
      <w:color w:val="5F697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A98"/>
    <w:pPr>
      <w:spacing w:before="720"/>
    </w:pPr>
    <w:rPr>
      <w:caps/>
      <w:color w:val="838D9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A98"/>
    <w:rPr>
      <w:caps/>
      <w:color w:val="838D9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A9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A9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86A98"/>
    <w:rPr>
      <w:b/>
      <w:bCs/>
    </w:rPr>
  </w:style>
  <w:style w:type="character" w:styleId="Emphasis">
    <w:name w:val="Emphasis"/>
    <w:uiPriority w:val="20"/>
    <w:qFormat/>
    <w:rsid w:val="00E86A98"/>
    <w:rPr>
      <w:caps/>
      <w:color w:val="3F454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86A9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6A9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86A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A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6A9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A98"/>
    <w:pPr>
      <w:pBdr>
        <w:top w:val="single" w:sz="4" w:space="10" w:color="838D9B" w:themeColor="accent1"/>
        <w:left w:val="single" w:sz="4" w:space="10" w:color="838D9B" w:themeColor="accent1"/>
      </w:pBdr>
      <w:spacing w:after="0"/>
      <w:ind w:left="1296" w:right="1152"/>
      <w:jc w:val="both"/>
    </w:pPr>
    <w:rPr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A98"/>
    <w:rPr>
      <w:i/>
      <w:iCs/>
      <w:color w:val="838D9B" w:themeColor="accent1"/>
      <w:sz w:val="20"/>
      <w:szCs w:val="20"/>
    </w:rPr>
  </w:style>
  <w:style w:type="character" w:styleId="SubtleEmphasis">
    <w:name w:val="Subtle Emphasis"/>
    <w:uiPriority w:val="19"/>
    <w:qFormat/>
    <w:rsid w:val="00E86A98"/>
    <w:rPr>
      <w:i/>
      <w:iCs/>
      <w:color w:val="3F454E" w:themeColor="accent1" w:themeShade="7F"/>
    </w:rPr>
  </w:style>
  <w:style w:type="character" w:styleId="IntenseEmphasis">
    <w:name w:val="Intense Emphasis"/>
    <w:uiPriority w:val="21"/>
    <w:qFormat/>
    <w:rsid w:val="00E86A98"/>
    <w:rPr>
      <w:b/>
      <w:bCs/>
      <w:caps/>
      <w:color w:val="3F454E" w:themeColor="accent1" w:themeShade="7F"/>
      <w:spacing w:val="10"/>
    </w:rPr>
  </w:style>
  <w:style w:type="character" w:styleId="SubtleReference">
    <w:name w:val="Subtle Reference"/>
    <w:uiPriority w:val="31"/>
    <w:qFormat/>
    <w:rsid w:val="00E86A98"/>
    <w:rPr>
      <w:b/>
      <w:bCs/>
      <w:color w:val="838D9B" w:themeColor="accent1"/>
    </w:rPr>
  </w:style>
  <w:style w:type="character" w:styleId="IntenseReference">
    <w:name w:val="Intense Reference"/>
    <w:uiPriority w:val="32"/>
    <w:qFormat/>
    <w:rsid w:val="00E86A98"/>
    <w:rPr>
      <w:b/>
      <w:bCs/>
      <w:i/>
      <w:iCs/>
      <w:caps/>
      <w:color w:val="838D9B" w:themeColor="accent1"/>
    </w:rPr>
  </w:style>
  <w:style w:type="character" w:styleId="BookTitle">
    <w:name w:val="Book Title"/>
    <w:uiPriority w:val="33"/>
    <w:qFormat/>
    <w:rsid w:val="00E86A9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A9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3717D"/>
    <w:rPr>
      <w:color w:val="6187E3" w:themeColor="hyperlink"/>
      <w:u w:val="single"/>
    </w:rPr>
  </w:style>
  <w:style w:type="table" w:styleId="TableGrid">
    <w:name w:val="Table Grid"/>
    <w:basedOn w:val="TableNormal"/>
    <w:uiPriority w:val="59"/>
    <w:rsid w:val="0073717D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B5C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.primo.exlibrisgroup.com/permalink/44SHU_INST/at0fmn/alma994701406025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Middleton</dc:creator>
  <cp:lastModifiedBy>Sam Moorwood</cp:lastModifiedBy>
  <cp:revision>3</cp:revision>
  <dcterms:created xsi:type="dcterms:W3CDTF">2020-07-19T21:09:00Z</dcterms:created>
  <dcterms:modified xsi:type="dcterms:W3CDTF">2020-07-19T22:31:00Z</dcterms:modified>
</cp:coreProperties>
</file>