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474" w:rsidRPr="00E86A98" w:rsidRDefault="00CC07DB" w:rsidP="00321F9F">
      <w:pPr>
        <w:pStyle w:val="Heading1"/>
        <w:rPr>
          <w:sz w:val="24"/>
          <w:szCs w:val="24"/>
        </w:rPr>
      </w:pPr>
      <w:r w:rsidRPr="00DE0AD2">
        <w:rPr>
          <w:i/>
          <w:sz w:val="24"/>
          <w:szCs w:val="24"/>
        </w:rPr>
        <w:t>preservation</w:t>
      </w:r>
      <w:proofErr w:type="gramStart"/>
      <w:r w:rsidR="00DE0AD2">
        <w:rPr>
          <w:sz w:val="24"/>
          <w:szCs w:val="24"/>
        </w:rPr>
        <w:t xml:space="preserve">- </w:t>
      </w:r>
      <w:r w:rsidR="00A017B5">
        <w:rPr>
          <w:sz w:val="24"/>
          <w:szCs w:val="24"/>
        </w:rPr>
        <w:t xml:space="preserve"> engaging</w:t>
      </w:r>
      <w:proofErr w:type="gramEnd"/>
      <w:r w:rsidR="00A017B5">
        <w:rPr>
          <w:sz w:val="24"/>
          <w:szCs w:val="24"/>
        </w:rPr>
        <w:t xml:space="preserve"> learners </w:t>
      </w:r>
      <w:r w:rsidR="00026A49">
        <w:rPr>
          <w:sz w:val="24"/>
          <w:szCs w:val="24"/>
        </w:rPr>
        <w:t>in food packaging</w:t>
      </w:r>
    </w:p>
    <w:p w:rsidR="00434E0B" w:rsidRPr="00434E0B" w:rsidRDefault="00A017B5" w:rsidP="00434E0B">
      <w:pPr>
        <w:pStyle w:val="Heading2"/>
        <w:rPr>
          <w:sz w:val="24"/>
          <w:szCs w:val="24"/>
        </w:rPr>
      </w:pPr>
      <w:r>
        <w:rPr>
          <w:sz w:val="24"/>
          <w:szCs w:val="24"/>
        </w:rPr>
        <w:t xml:space="preserve">online lectures and creative seminars </w:t>
      </w:r>
      <w:r w:rsidR="001D30BD">
        <w:rPr>
          <w:sz w:val="24"/>
          <w:szCs w:val="24"/>
        </w:rPr>
        <w:t xml:space="preserve">using artefacts </w:t>
      </w:r>
      <w:bookmarkStart w:id="0" w:name="_GoBack"/>
      <w:bookmarkEnd w:id="0"/>
      <w:r>
        <w:rPr>
          <w:sz w:val="24"/>
          <w:szCs w:val="24"/>
        </w:rPr>
        <w:t>from the home for work based learning</w:t>
      </w:r>
      <w:r w:rsidR="001D30BD">
        <w:rPr>
          <w:sz w:val="24"/>
          <w:szCs w:val="24"/>
        </w:rPr>
        <w:t xml:space="preserve"> in the </w:t>
      </w:r>
      <w:r w:rsidR="001D30BD">
        <w:rPr>
          <w:sz w:val="24"/>
          <w:szCs w:val="24"/>
        </w:rPr>
        <w:t>Packaging professional apprenticeship</w:t>
      </w:r>
      <w:r>
        <w:rPr>
          <w:sz w:val="24"/>
          <w:szCs w:val="24"/>
        </w:rPr>
        <w:t xml:space="preserve"> </w:t>
      </w:r>
    </w:p>
    <w:p w:rsidR="00321F9F" w:rsidRPr="00E86A98" w:rsidRDefault="00321F9F" w:rsidP="00321F9F">
      <w:pPr>
        <w:pStyle w:val="Heading1"/>
        <w:rPr>
          <w:sz w:val="24"/>
          <w:szCs w:val="24"/>
        </w:rPr>
      </w:pPr>
      <w:r w:rsidRPr="00E86A98">
        <w:rPr>
          <w:sz w:val="24"/>
          <w:szCs w:val="24"/>
        </w:rPr>
        <w:t>Aim</w:t>
      </w:r>
    </w:p>
    <w:p w:rsidR="00745A49" w:rsidRPr="005E3DB0" w:rsidRDefault="00771915" w:rsidP="00524313">
      <w:pPr>
        <w:rPr>
          <w:iCs/>
          <w:sz w:val="24"/>
          <w:szCs w:val="24"/>
        </w:rPr>
      </w:pPr>
      <w:r w:rsidRPr="005E3DB0">
        <w:rPr>
          <w:iCs/>
          <w:sz w:val="24"/>
          <w:szCs w:val="24"/>
        </w:rPr>
        <w:t>The</w:t>
      </w:r>
      <w:r w:rsidR="00A017B5" w:rsidRPr="005E3DB0">
        <w:rPr>
          <w:iCs/>
          <w:sz w:val="24"/>
          <w:szCs w:val="24"/>
        </w:rPr>
        <w:t xml:space="preserve"> case study looks at a snapshot of delivery</w:t>
      </w:r>
      <w:r w:rsidR="00FF2CCD" w:rsidRPr="005E3DB0">
        <w:rPr>
          <w:iCs/>
          <w:sz w:val="24"/>
          <w:szCs w:val="24"/>
        </w:rPr>
        <w:t>,</w:t>
      </w:r>
      <w:r w:rsidR="00A017B5" w:rsidRPr="005E3DB0">
        <w:rPr>
          <w:iCs/>
          <w:sz w:val="24"/>
          <w:szCs w:val="24"/>
        </w:rPr>
        <w:t xml:space="preserve"> tackling the theme of </w:t>
      </w:r>
      <w:r w:rsidR="00FF2CCD" w:rsidRPr="005E3DB0">
        <w:rPr>
          <w:iCs/>
          <w:sz w:val="24"/>
          <w:szCs w:val="24"/>
        </w:rPr>
        <w:t xml:space="preserve">containment and </w:t>
      </w:r>
      <w:r w:rsidR="00A017B5" w:rsidRPr="005E3DB0">
        <w:rPr>
          <w:iCs/>
          <w:sz w:val="24"/>
          <w:szCs w:val="24"/>
        </w:rPr>
        <w:t xml:space="preserve">preservation </w:t>
      </w:r>
      <w:r w:rsidR="00FF2CCD" w:rsidRPr="005E3DB0">
        <w:rPr>
          <w:iCs/>
          <w:sz w:val="24"/>
          <w:szCs w:val="24"/>
        </w:rPr>
        <w:t xml:space="preserve">of food </w:t>
      </w:r>
      <w:r w:rsidR="00A017B5" w:rsidRPr="005E3DB0">
        <w:rPr>
          <w:iCs/>
          <w:sz w:val="24"/>
          <w:szCs w:val="24"/>
        </w:rPr>
        <w:t>in packaging</w:t>
      </w:r>
      <w:r w:rsidR="00FF2CCD" w:rsidRPr="005E3DB0">
        <w:rPr>
          <w:iCs/>
          <w:sz w:val="24"/>
          <w:szCs w:val="24"/>
        </w:rPr>
        <w:t>. This block of delivery</w:t>
      </w:r>
      <w:r w:rsidR="00A017B5" w:rsidRPr="005E3DB0">
        <w:rPr>
          <w:iCs/>
          <w:sz w:val="24"/>
          <w:szCs w:val="24"/>
        </w:rPr>
        <w:t xml:space="preserve"> exemplifies how different techniques </w:t>
      </w:r>
      <w:r w:rsidR="00FF2CCD" w:rsidRPr="005E3DB0">
        <w:rPr>
          <w:iCs/>
          <w:sz w:val="24"/>
          <w:szCs w:val="24"/>
        </w:rPr>
        <w:t xml:space="preserve">and learner-centric activities </w:t>
      </w:r>
      <w:r w:rsidR="00A017B5" w:rsidRPr="005E3DB0">
        <w:rPr>
          <w:iCs/>
          <w:sz w:val="24"/>
          <w:szCs w:val="24"/>
        </w:rPr>
        <w:t>are combined to ensure maximum engagement</w:t>
      </w:r>
      <w:r w:rsidR="00DE0AD2">
        <w:rPr>
          <w:iCs/>
          <w:sz w:val="24"/>
          <w:szCs w:val="24"/>
        </w:rPr>
        <w:t>.</w:t>
      </w:r>
    </w:p>
    <w:p w:rsidR="00745A49" w:rsidRPr="00E86A98" w:rsidRDefault="00745A49" w:rsidP="00745A49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approach</w:t>
      </w:r>
    </w:p>
    <w:p w:rsidR="00A017B5" w:rsidRPr="005E3DB0" w:rsidRDefault="00CC07DB" w:rsidP="00524313">
      <w:pPr>
        <w:rPr>
          <w:iCs/>
          <w:sz w:val="24"/>
          <w:szCs w:val="24"/>
        </w:rPr>
      </w:pPr>
      <w:r w:rsidRPr="005E3DB0">
        <w:rPr>
          <w:iCs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 wp14:anchorId="04E8A9D9" wp14:editId="6CC89237">
            <wp:simplePos x="0" y="0"/>
            <wp:positionH relativeFrom="column">
              <wp:posOffset>3954780</wp:posOffset>
            </wp:positionH>
            <wp:positionV relativeFrom="paragraph">
              <wp:posOffset>116840</wp:posOffset>
            </wp:positionV>
            <wp:extent cx="1832610" cy="2923540"/>
            <wp:effectExtent l="0" t="0" r="0" b="0"/>
            <wp:wrapTight wrapText="bothSides">
              <wp:wrapPolygon edited="0">
                <wp:start x="15268" y="0"/>
                <wp:lineTo x="2021" y="3096"/>
                <wp:lineTo x="1347" y="3378"/>
                <wp:lineTo x="3368" y="6756"/>
                <wp:lineTo x="1347" y="8023"/>
                <wp:lineTo x="898" y="8445"/>
                <wp:lineTo x="4042" y="13512"/>
                <wp:lineTo x="0" y="14497"/>
                <wp:lineTo x="0" y="15764"/>
                <wp:lineTo x="3817" y="21394"/>
                <wp:lineTo x="5164" y="21394"/>
                <wp:lineTo x="5389" y="21394"/>
                <wp:lineTo x="18187" y="18016"/>
                <wp:lineTo x="16840" y="15764"/>
                <wp:lineTo x="16391" y="13512"/>
                <wp:lineTo x="21331" y="12386"/>
                <wp:lineTo x="21331" y="11260"/>
                <wp:lineTo x="20208" y="5489"/>
                <wp:lineTo x="16615" y="0"/>
                <wp:lineTo x="15268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7B5" w:rsidRPr="005E3DB0">
        <w:rPr>
          <w:iCs/>
          <w:sz w:val="24"/>
          <w:szCs w:val="24"/>
        </w:rPr>
        <w:t>The case study includes several techniques:</w:t>
      </w:r>
    </w:p>
    <w:p w:rsidR="00FF2CCD" w:rsidRPr="005E3DB0" w:rsidRDefault="00FF2CCD" w:rsidP="00CC07DB">
      <w:pPr>
        <w:pStyle w:val="ListParagraph"/>
        <w:numPr>
          <w:ilvl w:val="0"/>
          <w:numId w:val="5"/>
        </w:numPr>
        <w:ind w:right="3072"/>
        <w:rPr>
          <w:iCs/>
          <w:sz w:val="24"/>
          <w:szCs w:val="24"/>
        </w:rPr>
      </w:pPr>
      <w:r w:rsidRPr="005E3DB0">
        <w:rPr>
          <w:iCs/>
          <w:sz w:val="24"/>
          <w:szCs w:val="24"/>
        </w:rPr>
        <w:t>Setting clear objectives in respect of participation to address the challenge of passive attendance</w:t>
      </w:r>
    </w:p>
    <w:p w:rsidR="00FF2CCD" w:rsidRPr="005E3DB0" w:rsidRDefault="00FF2CCD" w:rsidP="00CC07DB">
      <w:pPr>
        <w:pStyle w:val="ListParagraph"/>
        <w:numPr>
          <w:ilvl w:val="0"/>
          <w:numId w:val="5"/>
        </w:numPr>
        <w:ind w:right="3072"/>
        <w:rPr>
          <w:iCs/>
          <w:sz w:val="24"/>
          <w:szCs w:val="24"/>
        </w:rPr>
      </w:pPr>
      <w:r w:rsidRPr="005E3DB0">
        <w:rPr>
          <w:iCs/>
          <w:sz w:val="24"/>
          <w:szCs w:val="24"/>
        </w:rPr>
        <w:t xml:space="preserve">Building on </w:t>
      </w:r>
      <w:r w:rsidR="00DE0AD2" w:rsidRPr="005E3DB0">
        <w:rPr>
          <w:iCs/>
          <w:sz w:val="24"/>
          <w:szCs w:val="24"/>
        </w:rPr>
        <w:t xml:space="preserve">patterns </w:t>
      </w:r>
      <w:r w:rsidRPr="005E3DB0">
        <w:rPr>
          <w:iCs/>
          <w:sz w:val="24"/>
          <w:szCs w:val="24"/>
        </w:rPr>
        <w:t xml:space="preserve">of text-based </w:t>
      </w:r>
      <w:r w:rsidR="00DE0AD2">
        <w:rPr>
          <w:iCs/>
          <w:sz w:val="24"/>
          <w:szCs w:val="24"/>
        </w:rPr>
        <w:t xml:space="preserve">"chat" </w:t>
      </w:r>
      <w:r w:rsidRPr="005E3DB0">
        <w:rPr>
          <w:iCs/>
          <w:sz w:val="24"/>
          <w:szCs w:val="24"/>
        </w:rPr>
        <w:t>communication to strengthen interaction</w:t>
      </w:r>
    </w:p>
    <w:p w:rsidR="00FF2CCD" w:rsidRPr="005E3DB0" w:rsidRDefault="00FF2CCD" w:rsidP="00CC07DB">
      <w:pPr>
        <w:pStyle w:val="ListParagraph"/>
        <w:numPr>
          <w:ilvl w:val="0"/>
          <w:numId w:val="5"/>
        </w:numPr>
        <w:ind w:right="3072"/>
        <w:rPr>
          <w:iCs/>
          <w:sz w:val="24"/>
          <w:szCs w:val="24"/>
        </w:rPr>
      </w:pPr>
      <w:r w:rsidRPr="005E3DB0">
        <w:rPr>
          <w:iCs/>
          <w:sz w:val="24"/>
          <w:szCs w:val="24"/>
        </w:rPr>
        <w:t>Harvesting feedback on engagement using on-line tools, including upload of worksheets from project teams</w:t>
      </w:r>
    </w:p>
    <w:p w:rsidR="00026A49" w:rsidRPr="005E3DB0" w:rsidRDefault="00FF2CCD" w:rsidP="00026A49">
      <w:pPr>
        <w:pStyle w:val="ListParagraph"/>
        <w:numPr>
          <w:ilvl w:val="0"/>
          <w:numId w:val="5"/>
        </w:numPr>
        <w:ind w:right="3072"/>
        <w:rPr>
          <w:iCs/>
          <w:sz w:val="24"/>
          <w:szCs w:val="24"/>
        </w:rPr>
      </w:pPr>
      <w:r w:rsidRPr="005E3DB0">
        <w:rPr>
          <w:iCs/>
          <w:sz w:val="24"/>
          <w:szCs w:val="24"/>
        </w:rPr>
        <w:t>Creative use of everyday products in the home to link to work-based themes in the packaging industry</w:t>
      </w:r>
    </w:p>
    <w:p w:rsidR="00026A49" w:rsidRPr="005E3DB0" w:rsidRDefault="00026A49" w:rsidP="00026A49">
      <w:pPr>
        <w:pStyle w:val="ListParagraph"/>
        <w:numPr>
          <w:ilvl w:val="0"/>
          <w:numId w:val="5"/>
        </w:numPr>
        <w:ind w:right="3072"/>
        <w:rPr>
          <w:iCs/>
          <w:sz w:val="24"/>
          <w:szCs w:val="24"/>
        </w:rPr>
      </w:pPr>
      <w:r w:rsidRPr="005E3DB0">
        <w:rPr>
          <w:iCs/>
          <w:sz w:val="24"/>
          <w:szCs w:val="24"/>
        </w:rPr>
        <w:t xml:space="preserve">Providing clear project timelines to support and motivate apprentices </w:t>
      </w:r>
    </w:p>
    <w:p w:rsidR="00026A49" w:rsidRDefault="00026A49" w:rsidP="00026A49">
      <w:pPr>
        <w:pStyle w:val="ListParagraph"/>
        <w:ind w:right="3072"/>
        <w:rPr>
          <w:i/>
          <w:iCs/>
          <w:sz w:val="24"/>
          <w:szCs w:val="24"/>
        </w:rPr>
      </w:pPr>
    </w:p>
    <w:p w:rsidR="00DE0AD2" w:rsidRDefault="00DE0AD2" w:rsidP="00026A49">
      <w:pPr>
        <w:pStyle w:val="ListParagraph"/>
        <w:ind w:right="3072"/>
        <w:rPr>
          <w:i/>
          <w:iCs/>
          <w:sz w:val="24"/>
          <w:szCs w:val="24"/>
        </w:rPr>
      </w:pPr>
    </w:p>
    <w:p w:rsidR="00026A49" w:rsidRPr="00026A49" w:rsidRDefault="00026A49" w:rsidP="00026A49">
      <w:pPr>
        <w:ind w:right="3072"/>
        <w:rPr>
          <w:i/>
          <w:iCs/>
          <w:sz w:val="24"/>
          <w:szCs w:val="24"/>
        </w:rPr>
      </w:pPr>
      <w:r w:rsidRPr="00026A49">
        <w:rPr>
          <w:i/>
          <w:iCs/>
          <w:noProof/>
          <w:sz w:val="24"/>
          <w:szCs w:val="24"/>
          <w:lang w:eastAsia="en-GB"/>
        </w:rPr>
        <w:drawing>
          <wp:inline distT="0" distB="0" distL="0" distR="0" wp14:anchorId="31D86948" wp14:editId="564BCE2A">
            <wp:extent cx="5433237" cy="2094614"/>
            <wp:effectExtent l="0" t="0" r="53340" b="11557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4" r="9846" b="8376"/>
                    <a:stretch/>
                  </pic:blipFill>
                  <pic:spPr>
                    <a:xfrm>
                      <a:off x="0" y="0"/>
                      <a:ext cx="5433770" cy="209481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accent5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6A49" w:rsidRPr="00026A49" w:rsidRDefault="00026A49" w:rsidP="00DE0AD2">
      <w:pPr>
        <w:jc w:val="center"/>
        <w:rPr>
          <w:b/>
          <w:i/>
        </w:rPr>
      </w:pPr>
      <w:r w:rsidRPr="00026A49">
        <w:rPr>
          <w:b/>
          <w:i/>
        </w:rPr>
        <w:lastRenderedPageBreak/>
        <w:t>Artefact:</w:t>
      </w:r>
    </w:p>
    <w:p w:rsidR="00026A49" w:rsidRDefault="00026A49" w:rsidP="00026A49">
      <w:pPr>
        <w:rPr>
          <w:b/>
        </w:rPr>
      </w:pPr>
      <w:r>
        <w:rPr>
          <w:b/>
        </w:rPr>
        <w:t>Preservation Workshop</w:t>
      </w:r>
    </w:p>
    <w:p w:rsidR="00026A49" w:rsidRDefault="00026A49" w:rsidP="00026A49">
      <w:pPr>
        <w:rPr>
          <w:b/>
        </w:rPr>
      </w:pPr>
      <w:r>
        <w:rPr>
          <w:b/>
        </w:rPr>
        <w:t>Tuesday 5</w:t>
      </w:r>
      <w:r w:rsidRPr="00A32EB8">
        <w:rPr>
          <w:b/>
          <w:vertAlign w:val="superscript"/>
        </w:rPr>
        <w:t>th</w:t>
      </w:r>
      <w:r>
        <w:rPr>
          <w:b/>
        </w:rPr>
        <w:t xml:space="preserve"> May 2020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705"/>
        <w:gridCol w:w="7305"/>
      </w:tblGrid>
      <w:tr w:rsidR="00026A49" w:rsidTr="002B727D">
        <w:tc>
          <w:tcPr>
            <w:tcW w:w="1705" w:type="dxa"/>
          </w:tcPr>
          <w:p w:rsidR="00026A49" w:rsidRDefault="00026A49" w:rsidP="002B727D">
            <w:r>
              <w:t>Your Name</w:t>
            </w:r>
          </w:p>
        </w:tc>
        <w:tc>
          <w:tcPr>
            <w:tcW w:w="7305" w:type="dxa"/>
          </w:tcPr>
          <w:p w:rsidR="00026A49" w:rsidRDefault="00026A49" w:rsidP="002B727D"/>
        </w:tc>
      </w:tr>
      <w:tr w:rsidR="00026A49" w:rsidTr="002B727D">
        <w:trPr>
          <w:trHeight w:val="413"/>
        </w:trPr>
        <w:tc>
          <w:tcPr>
            <w:tcW w:w="1705" w:type="dxa"/>
          </w:tcPr>
          <w:p w:rsidR="00026A49" w:rsidRDefault="00026A49" w:rsidP="002B727D">
            <w:r>
              <w:t>Food Item</w:t>
            </w:r>
          </w:p>
        </w:tc>
        <w:tc>
          <w:tcPr>
            <w:tcW w:w="7305" w:type="dxa"/>
          </w:tcPr>
          <w:p w:rsidR="00026A49" w:rsidRDefault="00026A49" w:rsidP="002B727D"/>
        </w:tc>
      </w:tr>
      <w:tr w:rsidR="00026A49" w:rsidTr="002B727D">
        <w:trPr>
          <w:trHeight w:val="413"/>
        </w:trPr>
        <w:tc>
          <w:tcPr>
            <w:tcW w:w="1705" w:type="dxa"/>
          </w:tcPr>
          <w:p w:rsidR="00026A49" w:rsidRDefault="00026A49" w:rsidP="002B727D">
            <w:r>
              <w:t>Brand Name</w:t>
            </w:r>
          </w:p>
        </w:tc>
        <w:tc>
          <w:tcPr>
            <w:tcW w:w="7305" w:type="dxa"/>
          </w:tcPr>
          <w:p w:rsidR="00026A49" w:rsidRDefault="00026A49" w:rsidP="002B727D"/>
        </w:tc>
      </w:tr>
    </w:tbl>
    <w:p w:rsidR="00026A49" w:rsidRDefault="00026A49" w:rsidP="00026A49">
      <w:pPr>
        <w:spacing w:before="120" w:after="120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965"/>
        <w:gridCol w:w="6045"/>
      </w:tblGrid>
      <w:tr w:rsidR="00026A49" w:rsidTr="002B727D">
        <w:tc>
          <w:tcPr>
            <w:tcW w:w="2965" w:type="dxa"/>
          </w:tcPr>
          <w:p w:rsidR="00026A49" w:rsidRDefault="00026A49" w:rsidP="002B727D">
            <w:r>
              <w:t>What is the food product?</w:t>
            </w:r>
          </w:p>
        </w:tc>
        <w:tc>
          <w:tcPr>
            <w:tcW w:w="6045" w:type="dxa"/>
          </w:tcPr>
          <w:p w:rsidR="00026A49" w:rsidRDefault="00026A49" w:rsidP="002B727D"/>
        </w:tc>
      </w:tr>
      <w:tr w:rsidR="00026A49" w:rsidTr="002B727D">
        <w:tc>
          <w:tcPr>
            <w:tcW w:w="9010" w:type="dxa"/>
            <w:gridSpan w:val="2"/>
          </w:tcPr>
          <w:p w:rsidR="00026A49" w:rsidRDefault="00026A49" w:rsidP="002B727D">
            <w:r>
              <w:t>What microbiological spoilage is likely to take place with this product?</w:t>
            </w:r>
          </w:p>
          <w:p w:rsidR="00026A49" w:rsidRDefault="00026A49" w:rsidP="002B727D">
            <w:r>
              <w:t>Biotic?</w:t>
            </w:r>
          </w:p>
          <w:p w:rsidR="00026A49" w:rsidRDefault="00026A49" w:rsidP="002B727D">
            <w:r>
              <w:t>Abiotic?</w:t>
            </w:r>
          </w:p>
          <w:p w:rsidR="00026A49" w:rsidRDefault="00026A49" w:rsidP="002B727D"/>
          <w:p w:rsidR="00026A49" w:rsidRDefault="00026A49" w:rsidP="002B727D">
            <w:r>
              <w:t>Why?</w:t>
            </w:r>
          </w:p>
          <w:p w:rsidR="00026A49" w:rsidRDefault="00026A49" w:rsidP="002B727D"/>
          <w:p w:rsidR="00026A49" w:rsidRDefault="00026A49" w:rsidP="002B727D"/>
        </w:tc>
      </w:tr>
    </w:tbl>
    <w:p w:rsidR="00026A49" w:rsidRDefault="00026A49" w:rsidP="00026A49">
      <w:pPr>
        <w:spacing w:before="120" w:after="120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0"/>
      </w:tblGrid>
      <w:tr w:rsidR="00026A49" w:rsidTr="002B727D">
        <w:tc>
          <w:tcPr>
            <w:tcW w:w="9010" w:type="dxa"/>
          </w:tcPr>
          <w:p w:rsidR="00026A49" w:rsidRDefault="00026A49" w:rsidP="002B727D">
            <w:r>
              <w:t>What are the main causes of spoilage (in respect to the answer above)</w:t>
            </w:r>
          </w:p>
        </w:tc>
      </w:tr>
      <w:tr w:rsidR="00026A49" w:rsidTr="002B727D">
        <w:trPr>
          <w:trHeight w:val="1439"/>
        </w:trPr>
        <w:tc>
          <w:tcPr>
            <w:tcW w:w="9010" w:type="dxa"/>
          </w:tcPr>
          <w:p w:rsidR="00026A49" w:rsidRDefault="00026A49" w:rsidP="002B727D">
            <w:r>
              <w:t>Please refer to the lecture content (there may be more than one)</w:t>
            </w:r>
          </w:p>
          <w:p w:rsidR="00026A49" w:rsidRDefault="00026A49" w:rsidP="002B727D"/>
          <w:p w:rsidR="00026A49" w:rsidRDefault="00026A49" w:rsidP="002B727D"/>
          <w:p w:rsidR="00026A49" w:rsidRDefault="00026A49" w:rsidP="002B727D"/>
        </w:tc>
      </w:tr>
    </w:tbl>
    <w:p w:rsidR="00026A49" w:rsidRDefault="00026A49" w:rsidP="00026A49">
      <w:pPr>
        <w:spacing w:before="120" w:after="120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0"/>
      </w:tblGrid>
      <w:tr w:rsidR="00026A49" w:rsidTr="002B727D">
        <w:tc>
          <w:tcPr>
            <w:tcW w:w="9010" w:type="dxa"/>
          </w:tcPr>
          <w:p w:rsidR="00026A49" w:rsidRDefault="00026A49" w:rsidP="002B727D">
            <w:r>
              <w:t>How does the packaging/containment reduce this risk for each of those mentioned above?</w:t>
            </w:r>
          </w:p>
        </w:tc>
      </w:tr>
      <w:tr w:rsidR="00026A49" w:rsidTr="002B727D">
        <w:tc>
          <w:tcPr>
            <w:tcW w:w="9010" w:type="dxa"/>
          </w:tcPr>
          <w:p w:rsidR="00026A49" w:rsidRDefault="00026A49" w:rsidP="002B727D"/>
          <w:p w:rsidR="00026A49" w:rsidRDefault="00026A49" w:rsidP="002B727D"/>
          <w:p w:rsidR="00026A49" w:rsidRDefault="00026A49" w:rsidP="002B727D"/>
          <w:p w:rsidR="00026A49" w:rsidRDefault="00026A49" w:rsidP="002B727D"/>
          <w:p w:rsidR="00026A49" w:rsidRDefault="00026A49" w:rsidP="002B727D"/>
        </w:tc>
      </w:tr>
    </w:tbl>
    <w:p w:rsidR="00026A49" w:rsidRDefault="00026A49" w:rsidP="00026A49">
      <w:pPr>
        <w:spacing w:before="120" w:after="120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0"/>
      </w:tblGrid>
      <w:tr w:rsidR="00026A49" w:rsidTr="002B727D">
        <w:tc>
          <w:tcPr>
            <w:tcW w:w="9010" w:type="dxa"/>
          </w:tcPr>
          <w:p w:rsidR="00026A49" w:rsidRDefault="00026A49" w:rsidP="002B727D">
            <w:r>
              <w:t>With respect to microbiological spoilage what printed information is important and why?</w:t>
            </w:r>
          </w:p>
        </w:tc>
      </w:tr>
      <w:tr w:rsidR="00026A49" w:rsidTr="002B727D">
        <w:tc>
          <w:tcPr>
            <w:tcW w:w="9010" w:type="dxa"/>
          </w:tcPr>
          <w:p w:rsidR="00026A49" w:rsidRDefault="00026A49" w:rsidP="002B727D"/>
          <w:p w:rsidR="00026A49" w:rsidRDefault="00026A49" w:rsidP="002B727D"/>
          <w:p w:rsidR="00026A49" w:rsidRDefault="00026A49" w:rsidP="002B727D"/>
          <w:p w:rsidR="00026A49" w:rsidRDefault="00026A49" w:rsidP="002B727D"/>
          <w:p w:rsidR="00026A49" w:rsidRDefault="00026A49" w:rsidP="002B727D"/>
          <w:p w:rsidR="00026A49" w:rsidRDefault="00026A49" w:rsidP="002B727D"/>
        </w:tc>
      </w:tr>
    </w:tbl>
    <w:p w:rsidR="00026A49" w:rsidRDefault="00026A49" w:rsidP="00026A49">
      <w:pPr>
        <w:spacing w:before="120" w:after="120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0"/>
      </w:tblGrid>
      <w:tr w:rsidR="00026A49" w:rsidTr="002B727D">
        <w:tc>
          <w:tcPr>
            <w:tcW w:w="9010" w:type="dxa"/>
          </w:tcPr>
          <w:p w:rsidR="00026A49" w:rsidRDefault="00026A49" w:rsidP="002B727D">
            <w:r>
              <w:t>What external factors could spoil the product?</w:t>
            </w:r>
          </w:p>
        </w:tc>
      </w:tr>
      <w:tr w:rsidR="00026A49" w:rsidTr="002B727D">
        <w:tc>
          <w:tcPr>
            <w:tcW w:w="9010" w:type="dxa"/>
          </w:tcPr>
          <w:p w:rsidR="00026A49" w:rsidRDefault="00026A49" w:rsidP="002B727D"/>
          <w:p w:rsidR="00026A49" w:rsidRDefault="00026A49" w:rsidP="002B727D"/>
          <w:p w:rsidR="00026A49" w:rsidRDefault="00026A49" w:rsidP="002B727D"/>
          <w:p w:rsidR="00026A49" w:rsidRDefault="00026A49" w:rsidP="002B727D"/>
          <w:p w:rsidR="00026A49" w:rsidRDefault="00026A49" w:rsidP="002B727D"/>
          <w:p w:rsidR="00026A49" w:rsidRDefault="00026A49" w:rsidP="002B727D"/>
          <w:p w:rsidR="00026A49" w:rsidRDefault="00026A49" w:rsidP="002B727D"/>
        </w:tc>
      </w:tr>
    </w:tbl>
    <w:p w:rsidR="00026A49" w:rsidRPr="000A36A3" w:rsidRDefault="00026A49" w:rsidP="00026A49"/>
    <w:p w:rsidR="00321F9F" w:rsidRPr="00E86A98" w:rsidRDefault="00321F9F" w:rsidP="00321F9F">
      <w:pPr>
        <w:pStyle w:val="Heading1"/>
        <w:rPr>
          <w:sz w:val="24"/>
          <w:szCs w:val="24"/>
        </w:rPr>
      </w:pPr>
      <w:r w:rsidRPr="00E86A98">
        <w:rPr>
          <w:sz w:val="24"/>
          <w:szCs w:val="24"/>
        </w:rPr>
        <w:lastRenderedPageBreak/>
        <w:t>Benefits</w:t>
      </w:r>
    </w:p>
    <w:p w:rsidR="00CC07DB" w:rsidRPr="005E3DB0" w:rsidRDefault="00FF2CCD" w:rsidP="00D53A26">
      <w:pPr>
        <w:pStyle w:val="ListParagraph"/>
        <w:ind w:left="0"/>
        <w:rPr>
          <w:noProof/>
          <w:lang w:eastAsia="en-GB"/>
        </w:rPr>
      </w:pPr>
      <w:r w:rsidRPr="005E3DB0">
        <w:rPr>
          <w:iCs/>
          <w:sz w:val="24"/>
          <w:szCs w:val="24"/>
        </w:rPr>
        <w:t xml:space="preserve">Using a range of techniques in careful combination has achieved a consistent goal of securing engagement across a cohort.  Despite lockdown impositions the learners have been able to </w:t>
      </w:r>
      <w:r w:rsidR="00D53A26" w:rsidRPr="005E3DB0">
        <w:rPr>
          <w:iCs/>
          <w:sz w:val="24"/>
          <w:szCs w:val="24"/>
        </w:rPr>
        <w:t xml:space="preserve">explore the </w:t>
      </w:r>
      <w:r w:rsidRPr="005E3DB0">
        <w:rPr>
          <w:iCs/>
          <w:sz w:val="24"/>
          <w:szCs w:val="24"/>
        </w:rPr>
        <w:t xml:space="preserve">materials and products </w:t>
      </w:r>
      <w:r w:rsidR="00DE0AD2">
        <w:rPr>
          <w:iCs/>
          <w:sz w:val="24"/>
          <w:szCs w:val="24"/>
        </w:rPr>
        <w:t xml:space="preserve">found in their homes, but which also </w:t>
      </w:r>
      <w:r w:rsidRPr="005E3DB0">
        <w:rPr>
          <w:iCs/>
          <w:sz w:val="24"/>
          <w:szCs w:val="24"/>
        </w:rPr>
        <w:t>that shape their on-going careers</w:t>
      </w:r>
      <w:r w:rsidR="00D53A26" w:rsidRPr="005E3DB0">
        <w:rPr>
          <w:iCs/>
          <w:sz w:val="24"/>
          <w:szCs w:val="24"/>
        </w:rPr>
        <w:t xml:space="preserve">.  Despite </w:t>
      </w:r>
      <w:proofErr w:type="spellStart"/>
      <w:r w:rsidR="00D53A26" w:rsidRPr="005E3DB0">
        <w:rPr>
          <w:iCs/>
          <w:sz w:val="24"/>
          <w:szCs w:val="24"/>
        </w:rPr>
        <w:t>Covid</w:t>
      </w:r>
      <w:proofErr w:type="spellEnd"/>
      <w:r w:rsidR="00D53A26" w:rsidRPr="005E3DB0">
        <w:rPr>
          <w:iCs/>
          <w:sz w:val="24"/>
          <w:szCs w:val="24"/>
        </w:rPr>
        <w:t xml:space="preserve">-related restrictions they have </w:t>
      </w:r>
      <w:r w:rsidRPr="005E3DB0">
        <w:rPr>
          <w:iCs/>
          <w:sz w:val="24"/>
          <w:szCs w:val="24"/>
        </w:rPr>
        <w:t>engage</w:t>
      </w:r>
      <w:r w:rsidR="00D53A26" w:rsidRPr="005E3DB0">
        <w:rPr>
          <w:iCs/>
          <w:sz w:val="24"/>
          <w:szCs w:val="24"/>
        </w:rPr>
        <w:t>d</w:t>
      </w:r>
      <w:r w:rsidRPr="005E3DB0">
        <w:rPr>
          <w:iCs/>
          <w:sz w:val="24"/>
          <w:szCs w:val="24"/>
        </w:rPr>
        <w:t xml:space="preserve"> in peer to peer review of their knowledge, develop analytica</w:t>
      </w:r>
      <w:r w:rsidR="00D53A26" w:rsidRPr="005E3DB0">
        <w:rPr>
          <w:iCs/>
          <w:sz w:val="24"/>
          <w:szCs w:val="24"/>
        </w:rPr>
        <w:t>l</w:t>
      </w:r>
      <w:r w:rsidRPr="005E3DB0">
        <w:rPr>
          <w:iCs/>
          <w:sz w:val="24"/>
          <w:szCs w:val="24"/>
        </w:rPr>
        <w:t xml:space="preserve"> and team working skills and </w:t>
      </w:r>
      <w:r w:rsidR="00D53A26" w:rsidRPr="005E3DB0">
        <w:rPr>
          <w:iCs/>
          <w:sz w:val="24"/>
          <w:szCs w:val="24"/>
        </w:rPr>
        <w:t xml:space="preserve">explore </w:t>
      </w:r>
      <w:r w:rsidRPr="005E3DB0">
        <w:rPr>
          <w:iCs/>
          <w:sz w:val="24"/>
          <w:szCs w:val="24"/>
        </w:rPr>
        <w:t xml:space="preserve">collaborative and </w:t>
      </w:r>
      <w:r w:rsidR="00D53A26" w:rsidRPr="005E3DB0">
        <w:rPr>
          <w:iCs/>
          <w:sz w:val="24"/>
          <w:szCs w:val="24"/>
        </w:rPr>
        <w:t>inquiring</w:t>
      </w:r>
      <w:r w:rsidRPr="005E3DB0">
        <w:rPr>
          <w:iCs/>
          <w:sz w:val="24"/>
          <w:szCs w:val="24"/>
        </w:rPr>
        <w:t xml:space="preserve"> behaviours</w:t>
      </w:r>
      <w:r w:rsidR="00D53A26" w:rsidRPr="005E3DB0">
        <w:rPr>
          <w:iCs/>
          <w:sz w:val="24"/>
          <w:szCs w:val="24"/>
        </w:rPr>
        <w:t xml:space="preserve"> - aligned to their apprenticeship standard. This can maintain a growth mind-set and enable acceleration across a wider range of KSBs when work place attendance resumes.</w:t>
      </w:r>
      <w:r w:rsidR="00CC07DB" w:rsidRPr="005E3DB0">
        <w:rPr>
          <w:noProof/>
          <w:lang w:eastAsia="en-GB"/>
        </w:rPr>
        <w:t xml:space="preserve"> </w:t>
      </w:r>
    </w:p>
    <w:p w:rsidR="00321F9F" w:rsidRPr="00E86A98" w:rsidRDefault="00321F9F" w:rsidP="00D53A26">
      <w:pPr>
        <w:pStyle w:val="ListParagraph"/>
        <w:ind w:left="0"/>
        <w:rPr>
          <w:sz w:val="24"/>
          <w:szCs w:val="24"/>
        </w:rPr>
      </w:pPr>
    </w:p>
    <w:p w:rsidR="00321F9F" w:rsidRPr="00E86A98" w:rsidRDefault="00321F9F" w:rsidP="00321F9F">
      <w:pPr>
        <w:pStyle w:val="Heading1"/>
        <w:rPr>
          <w:sz w:val="24"/>
          <w:szCs w:val="24"/>
        </w:rPr>
      </w:pPr>
      <w:r w:rsidRPr="00E86A98">
        <w:rPr>
          <w:sz w:val="24"/>
          <w:szCs w:val="24"/>
        </w:rPr>
        <w:t>Future Developments</w:t>
      </w:r>
    </w:p>
    <w:p w:rsidR="00CC07DB" w:rsidRDefault="00CC07DB" w:rsidP="00CC07DB">
      <w:pPr>
        <w:ind w:left="4536"/>
        <w:rPr>
          <w:i/>
          <w:iCs/>
          <w:sz w:val="24"/>
          <w:szCs w:val="24"/>
        </w:rPr>
      </w:pPr>
      <w:r w:rsidRPr="00CC07DB">
        <w:rPr>
          <w:i/>
          <w:iCs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75787E66" wp14:editId="2A95F316">
            <wp:simplePos x="0" y="0"/>
            <wp:positionH relativeFrom="column">
              <wp:posOffset>52705</wp:posOffset>
            </wp:positionH>
            <wp:positionV relativeFrom="paragraph">
              <wp:posOffset>233045</wp:posOffset>
            </wp:positionV>
            <wp:extent cx="2508885" cy="2681605"/>
            <wp:effectExtent l="0" t="0" r="5715" b="4445"/>
            <wp:wrapTight wrapText="bothSides">
              <wp:wrapPolygon edited="0">
                <wp:start x="0" y="0"/>
                <wp:lineTo x="0" y="21482"/>
                <wp:lineTo x="21485" y="21482"/>
                <wp:lineTo x="21485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E0B" w:rsidRPr="005E3DB0" w:rsidRDefault="00D53A26" w:rsidP="00CC07DB">
      <w:pPr>
        <w:ind w:left="4536"/>
        <w:rPr>
          <w:noProof/>
          <w:lang w:eastAsia="en-GB"/>
        </w:rPr>
      </w:pPr>
      <w:r w:rsidRPr="005E3DB0">
        <w:rPr>
          <w:iCs/>
          <w:sz w:val="24"/>
          <w:szCs w:val="24"/>
        </w:rPr>
        <w:t>It will be important to review the overall feedback on the innovative approaches explored.  Ideally the benefits of on-line innovations can be retained and merged with previous preferences for delivery strategy.  Module Evaluation will play as big a pa</w:t>
      </w:r>
      <w:r w:rsidR="003C300E">
        <w:rPr>
          <w:iCs/>
          <w:sz w:val="24"/>
          <w:szCs w:val="24"/>
        </w:rPr>
        <w:t xml:space="preserve">rt as ever in this </w:t>
      </w:r>
      <w:proofErr w:type="gramStart"/>
      <w:r w:rsidR="003C300E">
        <w:rPr>
          <w:iCs/>
          <w:sz w:val="24"/>
          <w:szCs w:val="24"/>
        </w:rPr>
        <w:t>development,</w:t>
      </w:r>
      <w:proofErr w:type="gramEnd"/>
      <w:r w:rsidRPr="005E3DB0">
        <w:rPr>
          <w:iCs/>
          <w:sz w:val="24"/>
          <w:szCs w:val="24"/>
        </w:rPr>
        <w:t xml:space="preserve"> however this will be an ongoing process in consultation with both leaners an</w:t>
      </w:r>
      <w:r w:rsidR="003C300E">
        <w:rPr>
          <w:iCs/>
          <w:sz w:val="24"/>
          <w:szCs w:val="24"/>
        </w:rPr>
        <w:t>d employers through wider three-</w:t>
      </w:r>
      <w:r w:rsidRPr="005E3DB0">
        <w:rPr>
          <w:iCs/>
          <w:sz w:val="24"/>
          <w:szCs w:val="24"/>
        </w:rPr>
        <w:t>way review processes and quality enhancement tools.</w:t>
      </w:r>
      <w:r w:rsidR="00CC07DB" w:rsidRPr="005E3DB0">
        <w:rPr>
          <w:noProof/>
          <w:lang w:eastAsia="en-GB"/>
        </w:rPr>
        <w:t xml:space="preserve"> </w:t>
      </w:r>
    </w:p>
    <w:p w:rsidR="00CC07DB" w:rsidRPr="00CC07DB" w:rsidRDefault="00CC07DB" w:rsidP="00CC07DB">
      <w:pPr>
        <w:ind w:left="4536"/>
        <w:rPr>
          <w:i/>
          <w:iCs/>
          <w:sz w:val="24"/>
          <w:szCs w:val="24"/>
        </w:rPr>
      </w:pPr>
    </w:p>
    <w:p w:rsidR="003501E4" w:rsidRPr="00E86A98" w:rsidRDefault="003501E4" w:rsidP="003501E4">
      <w:pPr>
        <w:pStyle w:val="Heading1"/>
        <w:rPr>
          <w:sz w:val="24"/>
          <w:szCs w:val="24"/>
        </w:rPr>
      </w:pPr>
      <w:r w:rsidRPr="00E86A98">
        <w:rPr>
          <w:sz w:val="24"/>
          <w:szCs w:val="24"/>
        </w:rPr>
        <w:t>Recommendations to Other Staff</w:t>
      </w:r>
    </w:p>
    <w:p w:rsidR="00D02188" w:rsidRDefault="003C300E" w:rsidP="00D02188">
      <w:pPr>
        <w:ind w:right="4348"/>
        <w:rPr>
          <w:iCs/>
          <w:sz w:val="24"/>
          <w:szCs w:val="24"/>
        </w:rPr>
      </w:pPr>
      <w:r w:rsidRPr="00026A49">
        <w:rPr>
          <w:i/>
          <w:iCs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1" locked="0" layoutInCell="1" allowOverlap="1" wp14:anchorId="5918EAA5" wp14:editId="2BEE9196">
            <wp:simplePos x="0" y="0"/>
            <wp:positionH relativeFrom="column">
              <wp:posOffset>3146425</wp:posOffset>
            </wp:positionH>
            <wp:positionV relativeFrom="paragraph">
              <wp:posOffset>170815</wp:posOffset>
            </wp:positionV>
            <wp:extent cx="2244725" cy="2051685"/>
            <wp:effectExtent l="19050" t="19050" r="22225" b="24765"/>
            <wp:wrapTight wrapText="bothSides">
              <wp:wrapPolygon edited="0">
                <wp:start x="-183" y="-201"/>
                <wp:lineTo x="-183" y="21660"/>
                <wp:lineTo x="21631" y="21660"/>
                <wp:lineTo x="21631" y="-201"/>
                <wp:lineTo x="-183" y="-201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A49" w:rsidRPr="005E3DB0">
        <w:rPr>
          <w:iCs/>
          <w:sz w:val="24"/>
          <w:szCs w:val="24"/>
        </w:rPr>
        <w:t>Capture learner feedback in creative ways including quick uploads</w:t>
      </w:r>
      <w:r>
        <w:rPr>
          <w:iCs/>
          <w:sz w:val="24"/>
          <w:szCs w:val="24"/>
        </w:rPr>
        <w:t>, using blackboard wikis and other basic functionality to create a series of formative feedback stepping stones.</w:t>
      </w:r>
      <w:r w:rsidR="00D02188">
        <w:rPr>
          <w:iCs/>
          <w:sz w:val="24"/>
          <w:szCs w:val="24"/>
        </w:rPr>
        <w:t xml:space="preserve">  </w:t>
      </w:r>
    </w:p>
    <w:p w:rsidR="0038037C" w:rsidRPr="005E3DB0" w:rsidRDefault="005E3DB0" w:rsidP="00D02188">
      <w:pPr>
        <w:ind w:right="4348"/>
        <w:rPr>
          <w:iCs/>
          <w:sz w:val="24"/>
          <w:szCs w:val="24"/>
        </w:rPr>
      </w:pPr>
      <w:r>
        <w:rPr>
          <w:iCs/>
          <w:sz w:val="24"/>
          <w:szCs w:val="24"/>
        </w:rPr>
        <w:t>T</w:t>
      </w:r>
      <w:r w:rsidR="00026A49" w:rsidRPr="005E3DB0">
        <w:rPr>
          <w:iCs/>
          <w:sz w:val="24"/>
          <w:szCs w:val="24"/>
        </w:rPr>
        <w:t>r</w:t>
      </w:r>
      <w:r w:rsidR="00745A49" w:rsidRPr="005E3DB0">
        <w:rPr>
          <w:iCs/>
          <w:sz w:val="24"/>
          <w:szCs w:val="24"/>
        </w:rPr>
        <w:t>y</w:t>
      </w:r>
      <w:r w:rsidR="00CC07DB" w:rsidRPr="005E3DB0">
        <w:rPr>
          <w:iCs/>
          <w:sz w:val="24"/>
          <w:szCs w:val="24"/>
        </w:rPr>
        <w:t xml:space="preserve"> driving conversations with zoom </w:t>
      </w:r>
      <w:r w:rsidR="00026A49" w:rsidRPr="005E3DB0">
        <w:rPr>
          <w:iCs/>
          <w:sz w:val="24"/>
          <w:szCs w:val="24"/>
        </w:rPr>
        <w:t xml:space="preserve">chat </w:t>
      </w:r>
      <w:r w:rsidR="00CC07DB" w:rsidRPr="005E3DB0">
        <w:rPr>
          <w:iCs/>
          <w:sz w:val="24"/>
          <w:szCs w:val="24"/>
        </w:rPr>
        <w:t>and capitalise on text base engagement to open up cohort-wide enquiries.</w:t>
      </w:r>
      <w:r w:rsidR="00026A49" w:rsidRPr="005E3DB0">
        <w:rPr>
          <w:iCs/>
          <w:sz w:val="24"/>
          <w:szCs w:val="24"/>
        </w:rPr>
        <w:t xml:space="preserve"> </w:t>
      </w:r>
      <w:r w:rsidR="00D02188">
        <w:rPr>
          <w:iCs/>
          <w:sz w:val="24"/>
          <w:szCs w:val="24"/>
        </w:rPr>
        <w:t>Quieter students can trigger the conversations and gain confidence.</w:t>
      </w:r>
    </w:p>
    <w:p w:rsidR="00026A49" w:rsidRDefault="00026A49" w:rsidP="00745A49">
      <w:pPr>
        <w:rPr>
          <w:i/>
          <w:iCs/>
          <w:sz w:val="24"/>
          <w:szCs w:val="24"/>
        </w:rPr>
      </w:pPr>
    </w:p>
    <w:p w:rsidR="00026A49" w:rsidRDefault="00026A49" w:rsidP="00745A49">
      <w:pPr>
        <w:rPr>
          <w:i/>
          <w:iCs/>
          <w:sz w:val="24"/>
          <w:szCs w:val="24"/>
        </w:rPr>
      </w:pPr>
    </w:p>
    <w:p w:rsidR="00321F9F" w:rsidRPr="00E86A98" w:rsidRDefault="00321F9F" w:rsidP="00321F9F">
      <w:pPr>
        <w:pStyle w:val="Heading1"/>
        <w:rPr>
          <w:sz w:val="24"/>
          <w:szCs w:val="24"/>
        </w:rPr>
      </w:pPr>
      <w:r w:rsidRPr="00E86A98">
        <w:rPr>
          <w:sz w:val="24"/>
          <w:szCs w:val="24"/>
        </w:rPr>
        <w:t>Further &amp; Related Information</w:t>
      </w:r>
    </w:p>
    <w:p w:rsidR="00D02188" w:rsidRDefault="00D02188" w:rsidP="00D02188">
      <w:pPr>
        <w:spacing w:before="0" w:after="0"/>
        <w:rPr>
          <w:i/>
          <w:iCs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503"/>
        <w:gridCol w:w="1184"/>
        <w:gridCol w:w="961"/>
        <w:gridCol w:w="1183"/>
        <w:gridCol w:w="999"/>
        <w:gridCol w:w="1239"/>
        <w:gridCol w:w="1173"/>
      </w:tblGrid>
      <w:tr w:rsidR="00D02188" w:rsidTr="007A66AE"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188" w:rsidRDefault="00D02188" w:rsidP="007A66A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Key Platforms</w:t>
            </w:r>
          </w:p>
          <w:p w:rsidR="00D02188" w:rsidRDefault="00D02188" w:rsidP="007A66AE">
            <w:pPr>
              <w:rPr>
                <w:iCs/>
                <w:sz w:val="24"/>
                <w:szCs w:val="24"/>
              </w:rPr>
            </w:pPr>
          </w:p>
        </w:tc>
        <w:tc>
          <w:tcPr>
            <w:tcW w:w="6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188" w:rsidRDefault="00D02188" w:rsidP="007A66A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Andragogic Impact (including WBL)</w:t>
            </w:r>
          </w:p>
        </w:tc>
      </w:tr>
      <w:tr w:rsidR="00D02188" w:rsidTr="007A66AE"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188" w:rsidRDefault="00D02188" w:rsidP="007A66AE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188" w:rsidRDefault="00535AB2" w:rsidP="00D02188">
            <w:pPr>
              <w:rPr>
                <w:iCs/>
                <w:sz w:val="24"/>
                <w:szCs w:val="24"/>
              </w:rPr>
            </w:pPr>
            <w:hyperlink r:id="rId12" w:history="1">
              <w:proofErr w:type="spellStart"/>
              <w:r w:rsidR="00D02188">
                <w:rPr>
                  <w:rStyle w:val="Hyperlink"/>
                  <w:iCs/>
                  <w:sz w:val="24"/>
                  <w:szCs w:val="24"/>
                </w:rPr>
                <w:t>Laurillard</w:t>
              </w:r>
              <w:proofErr w:type="spellEnd"/>
            </w:hyperlink>
            <w:r w:rsidR="00D02188">
              <w:rPr>
                <w:iCs/>
                <w:sz w:val="24"/>
                <w:szCs w:val="24"/>
              </w:rPr>
              <w:t xml:space="preserve"> learning activities</w:t>
            </w:r>
          </w:p>
        </w:tc>
      </w:tr>
      <w:tr w:rsidR="00D02188" w:rsidTr="00D02188"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188" w:rsidRDefault="00D02188" w:rsidP="007A66AE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Platform 1: 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2188" w:rsidRDefault="00D02188" w:rsidP="007A66AE">
            <w:pPr>
              <w:rPr>
                <w:i/>
                <w:iCs/>
              </w:rPr>
            </w:pPr>
            <w:r>
              <w:rPr>
                <w:i/>
                <w:iCs/>
              </w:rPr>
              <w:t>Acquisition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188" w:rsidRDefault="00D02188" w:rsidP="007A66AE">
            <w:pPr>
              <w:rPr>
                <w:i/>
                <w:iCs/>
              </w:rPr>
            </w:pPr>
            <w:r>
              <w:rPr>
                <w:i/>
                <w:iCs/>
              </w:rPr>
              <w:t>Inquiry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2188" w:rsidRDefault="00D02188" w:rsidP="007A66AE">
            <w:pPr>
              <w:rPr>
                <w:i/>
                <w:iCs/>
              </w:rPr>
            </w:pPr>
            <w:r>
              <w:rPr>
                <w:i/>
                <w:iCs/>
              </w:rPr>
              <w:t>Discussion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2188" w:rsidRDefault="00D02188" w:rsidP="007A66AE">
            <w:pPr>
              <w:rPr>
                <w:i/>
                <w:iCs/>
              </w:rPr>
            </w:pPr>
            <w:r>
              <w:rPr>
                <w:i/>
                <w:iCs/>
              </w:rPr>
              <w:t>Practice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188" w:rsidRDefault="00D02188" w:rsidP="007A66AE">
            <w:pPr>
              <w:rPr>
                <w:i/>
                <w:iCs/>
              </w:rPr>
            </w:pPr>
            <w:r>
              <w:rPr>
                <w:i/>
                <w:iCs/>
              </w:rPr>
              <w:t>Collaborate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2188" w:rsidRDefault="00D02188" w:rsidP="007A66AE">
            <w:pPr>
              <w:rPr>
                <w:i/>
                <w:iCs/>
              </w:rPr>
            </w:pPr>
            <w:r>
              <w:rPr>
                <w:i/>
                <w:iCs/>
              </w:rPr>
              <w:t>Production</w:t>
            </w:r>
          </w:p>
        </w:tc>
      </w:tr>
      <w:tr w:rsidR="00D02188" w:rsidTr="007A66AE"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188" w:rsidRDefault="00D02188" w:rsidP="007A66AE">
            <w:pPr>
              <w:rPr>
                <w:i/>
                <w:iCs/>
                <w:sz w:val="24"/>
                <w:szCs w:val="24"/>
              </w:rPr>
            </w:pPr>
          </w:p>
          <w:p w:rsidR="00D02188" w:rsidRDefault="00D02188" w:rsidP="007A66AE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Blackboard</w:t>
            </w:r>
          </w:p>
        </w:tc>
        <w:tc>
          <w:tcPr>
            <w:tcW w:w="6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188" w:rsidRDefault="00D02188" w:rsidP="007A66AE">
            <w:pPr>
              <w:rPr>
                <w:i/>
                <w:iCs/>
                <w:sz w:val="24"/>
                <w:szCs w:val="24"/>
              </w:rPr>
            </w:pPr>
          </w:p>
          <w:p w:rsidR="00D02188" w:rsidRDefault="00D02188" w:rsidP="007A66A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Simple use of basic wiki, and upload functionality in Blackboard can create a clear path for engagement and informal feedback stream to maintain engagement.</w:t>
            </w:r>
          </w:p>
          <w:p w:rsidR="00D02188" w:rsidRPr="005E3DB0" w:rsidRDefault="00D02188" w:rsidP="007A66A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This is effective when the intentions and expectations are clearly laid out, for example a basic </w:t>
            </w:r>
            <w:proofErr w:type="spellStart"/>
            <w:r>
              <w:rPr>
                <w:iCs/>
                <w:sz w:val="24"/>
                <w:szCs w:val="24"/>
              </w:rPr>
              <w:t>Ghant</w:t>
            </w:r>
            <w:proofErr w:type="spellEnd"/>
            <w:r>
              <w:rPr>
                <w:iCs/>
                <w:sz w:val="24"/>
                <w:szCs w:val="24"/>
              </w:rPr>
              <w:t xml:space="preserve"> chart, or flow diagram to schedule the activities and manage expectations.</w:t>
            </w:r>
          </w:p>
          <w:p w:rsidR="00D02188" w:rsidRDefault="00D02188" w:rsidP="007A66AE">
            <w:pPr>
              <w:rPr>
                <w:i/>
                <w:iCs/>
                <w:sz w:val="24"/>
                <w:szCs w:val="24"/>
              </w:rPr>
            </w:pPr>
          </w:p>
          <w:p w:rsidR="00D02188" w:rsidRDefault="00D02188" w:rsidP="007A66AE">
            <w:pPr>
              <w:rPr>
                <w:i/>
                <w:iCs/>
                <w:sz w:val="24"/>
                <w:szCs w:val="24"/>
              </w:rPr>
            </w:pPr>
          </w:p>
        </w:tc>
      </w:tr>
    </w:tbl>
    <w:p w:rsidR="00D02188" w:rsidRPr="00E86A98" w:rsidRDefault="00D02188" w:rsidP="00D02188">
      <w:pPr>
        <w:spacing w:before="0" w:after="0"/>
        <w:rPr>
          <w:i/>
          <w:iCs/>
          <w:sz w:val="24"/>
          <w:szCs w:val="24"/>
        </w:rPr>
      </w:pPr>
    </w:p>
    <w:p w:rsidR="00321F9F" w:rsidRPr="00E86A98" w:rsidRDefault="00321F9F" w:rsidP="00321F9F">
      <w:pPr>
        <w:pStyle w:val="Heading1"/>
        <w:rPr>
          <w:sz w:val="24"/>
          <w:szCs w:val="24"/>
        </w:rPr>
      </w:pPr>
      <w:r w:rsidRPr="00E86A98">
        <w:rPr>
          <w:sz w:val="24"/>
          <w:szCs w:val="24"/>
        </w:rPr>
        <w:t>Profile</w:t>
      </w:r>
    </w:p>
    <w:p w:rsidR="00321F9F" w:rsidRPr="00E86A98" w:rsidRDefault="00321F9F" w:rsidP="00321F9F">
      <w:pPr>
        <w:rPr>
          <w:sz w:val="24"/>
          <w:szCs w:val="24"/>
        </w:rPr>
      </w:pPr>
      <w:r w:rsidRPr="00E86A98">
        <w:rPr>
          <w:sz w:val="24"/>
          <w:szCs w:val="24"/>
        </w:rPr>
        <w:t>Tutor name(s):</w:t>
      </w:r>
      <w:r w:rsidR="005E3DB0">
        <w:rPr>
          <w:sz w:val="24"/>
          <w:szCs w:val="24"/>
        </w:rPr>
        <w:t xml:space="preserve">  Glynn Hawley</w:t>
      </w:r>
    </w:p>
    <w:p w:rsidR="00321F9F" w:rsidRPr="00E86A98" w:rsidRDefault="00745A49" w:rsidP="00321F9F">
      <w:pPr>
        <w:rPr>
          <w:sz w:val="24"/>
          <w:szCs w:val="24"/>
        </w:rPr>
      </w:pPr>
      <w:r>
        <w:rPr>
          <w:sz w:val="24"/>
          <w:szCs w:val="24"/>
        </w:rPr>
        <w:t>College</w:t>
      </w:r>
      <w:r w:rsidR="00321F9F" w:rsidRPr="00E86A98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5E3DB0">
        <w:rPr>
          <w:sz w:val="24"/>
          <w:szCs w:val="24"/>
        </w:rPr>
        <w:t xml:space="preserve"> SSA</w:t>
      </w:r>
    </w:p>
    <w:p w:rsidR="00321F9F" w:rsidRPr="00E86A98" w:rsidRDefault="00321F9F" w:rsidP="00321F9F">
      <w:pPr>
        <w:rPr>
          <w:sz w:val="24"/>
          <w:szCs w:val="24"/>
        </w:rPr>
      </w:pPr>
      <w:r w:rsidRPr="00E86A98">
        <w:rPr>
          <w:sz w:val="24"/>
          <w:szCs w:val="24"/>
        </w:rPr>
        <w:t>Size of cohort:</w:t>
      </w:r>
      <w:r w:rsidR="00434E0B">
        <w:rPr>
          <w:sz w:val="24"/>
          <w:szCs w:val="24"/>
        </w:rPr>
        <w:t xml:space="preserve"> </w:t>
      </w:r>
      <w:r w:rsidR="00434E0B" w:rsidRPr="005E3DB0">
        <w:rPr>
          <w:sz w:val="24"/>
          <w:szCs w:val="24"/>
        </w:rPr>
        <w:t>Circa 20</w:t>
      </w:r>
    </w:p>
    <w:p w:rsidR="00321F9F" w:rsidRPr="00E86A98" w:rsidRDefault="00321F9F" w:rsidP="00321F9F">
      <w:pPr>
        <w:rPr>
          <w:sz w:val="24"/>
          <w:szCs w:val="24"/>
        </w:rPr>
      </w:pPr>
      <w:r w:rsidRPr="00E86A98">
        <w:rPr>
          <w:sz w:val="24"/>
          <w:szCs w:val="24"/>
        </w:rPr>
        <w:t>Key themes:</w:t>
      </w:r>
      <w:r w:rsidR="00434E0B">
        <w:rPr>
          <w:sz w:val="24"/>
          <w:szCs w:val="24"/>
        </w:rPr>
        <w:t xml:space="preserve"> On-line; work based learning; </w:t>
      </w:r>
      <w:r w:rsidR="0038037C">
        <w:rPr>
          <w:sz w:val="24"/>
          <w:szCs w:val="24"/>
        </w:rPr>
        <w:t>WBL Projects, supervision, work planning;</w:t>
      </w:r>
      <w:r w:rsidR="00434E0B">
        <w:rPr>
          <w:sz w:val="24"/>
          <w:szCs w:val="24"/>
        </w:rPr>
        <w:t xml:space="preserve"> andragogy; leadership and management</w:t>
      </w:r>
    </w:p>
    <w:sectPr w:rsidR="00321F9F" w:rsidRPr="00E86A98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AB2" w:rsidRDefault="00535AB2" w:rsidP="00321F9F">
      <w:pPr>
        <w:spacing w:after="0" w:line="240" w:lineRule="auto"/>
      </w:pPr>
      <w:r>
        <w:separator/>
      </w:r>
    </w:p>
  </w:endnote>
  <w:endnote w:type="continuationSeparator" w:id="0">
    <w:p w:rsidR="00535AB2" w:rsidRDefault="00535AB2" w:rsidP="00321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41A" w:rsidRDefault="0079741A" w:rsidP="00E86A98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AB2" w:rsidRDefault="00535AB2" w:rsidP="00321F9F">
      <w:pPr>
        <w:spacing w:after="0" w:line="240" w:lineRule="auto"/>
      </w:pPr>
      <w:r>
        <w:separator/>
      </w:r>
    </w:p>
  </w:footnote>
  <w:footnote w:type="continuationSeparator" w:id="0">
    <w:p w:rsidR="00535AB2" w:rsidRDefault="00535AB2" w:rsidP="00321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F9F" w:rsidRPr="001D30BD" w:rsidRDefault="001D30BD" w:rsidP="001D30BD">
    <w:pPr>
      <w:pStyle w:val="Header"/>
      <w:rPr>
        <w:i/>
        <w:szCs w:val="24"/>
      </w:rPr>
    </w:pPr>
    <w:r w:rsidRPr="001D30BD">
      <w:rPr>
        <w:szCs w:val="24"/>
      </w:rPr>
      <w:t xml:space="preserve">Blended Learning for WBL Case Study - </w:t>
    </w:r>
    <w:r>
      <w:rPr>
        <w:i/>
        <w:szCs w:val="24"/>
      </w:rPr>
      <w:t>Collaboration U</w:t>
    </w:r>
    <w:r w:rsidRPr="001D30BD">
      <w:rPr>
        <w:i/>
        <w:szCs w:val="24"/>
      </w:rPr>
      <w:t>sing Accessible Artefacts (Packaging)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38FB"/>
    <w:multiLevelType w:val="hybridMultilevel"/>
    <w:tmpl w:val="59187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D33C2"/>
    <w:multiLevelType w:val="hybridMultilevel"/>
    <w:tmpl w:val="CCA0C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FB2745"/>
    <w:multiLevelType w:val="hybridMultilevel"/>
    <w:tmpl w:val="5A445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C56D08"/>
    <w:multiLevelType w:val="hybridMultilevel"/>
    <w:tmpl w:val="43406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9F"/>
    <w:rsid w:val="00023A65"/>
    <w:rsid w:val="00026A49"/>
    <w:rsid w:val="00036AD3"/>
    <w:rsid w:val="00117EB2"/>
    <w:rsid w:val="001D30BD"/>
    <w:rsid w:val="00201A54"/>
    <w:rsid w:val="00321F9F"/>
    <w:rsid w:val="003501E4"/>
    <w:rsid w:val="0038037C"/>
    <w:rsid w:val="003A0D37"/>
    <w:rsid w:val="003C300E"/>
    <w:rsid w:val="00434E0B"/>
    <w:rsid w:val="00505A69"/>
    <w:rsid w:val="00524313"/>
    <w:rsid w:val="00535AB2"/>
    <w:rsid w:val="00560E39"/>
    <w:rsid w:val="005E3DB0"/>
    <w:rsid w:val="00644A40"/>
    <w:rsid w:val="006571A2"/>
    <w:rsid w:val="006E4474"/>
    <w:rsid w:val="0073717D"/>
    <w:rsid w:val="00745A49"/>
    <w:rsid w:val="00771915"/>
    <w:rsid w:val="0079741A"/>
    <w:rsid w:val="00841BD4"/>
    <w:rsid w:val="00847F47"/>
    <w:rsid w:val="008E611C"/>
    <w:rsid w:val="009D55A3"/>
    <w:rsid w:val="00A017B5"/>
    <w:rsid w:val="00A6627A"/>
    <w:rsid w:val="00B16D2A"/>
    <w:rsid w:val="00CC07DB"/>
    <w:rsid w:val="00D02188"/>
    <w:rsid w:val="00D53A26"/>
    <w:rsid w:val="00DE0AD2"/>
    <w:rsid w:val="00E86A98"/>
    <w:rsid w:val="00EF0A62"/>
    <w:rsid w:val="00FB3727"/>
    <w:rsid w:val="00FF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A9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A98"/>
    <w:pPr>
      <w:pBdr>
        <w:top w:val="single" w:sz="24" w:space="0" w:color="838D9B" w:themeColor="accent1"/>
        <w:left w:val="single" w:sz="24" w:space="0" w:color="838D9B" w:themeColor="accent1"/>
        <w:bottom w:val="single" w:sz="24" w:space="0" w:color="838D9B" w:themeColor="accent1"/>
        <w:right w:val="single" w:sz="24" w:space="0" w:color="838D9B" w:themeColor="accent1"/>
      </w:pBdr>
      <w:shd w:val="clear" w:color="auto" w:fill="838D9B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6A98"/>
    <w:pPr>
      <w:pBdr>
        <w:top w:val="single" w:sz="24" w:space="0" w:color="E6E8EB" w:themeColor="accent1" w:themeTint="33"/>
        <w:left w:val="single" w:sz="24" w:space="0" w:color="E6E8EB" w:themeColor="accent1" w:themeTint="33"/>
        <w:bottom w:val="single" w:sz="24" w:space="0" w:color="E6E8EB" w:themeColor="accent1" w:themeTint="33"/>
        <w:right w:val="single" w:sz="24" w:space="0" w:color="E6E8EB" w:themeColor="accent1" w:themeTint="33"/>
      </w:pBdr>
      <w:shd w:val="clear" w:color="auto" w:fill="E6E8EB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A98"/>
    <w:pPr>
      <w:pBdr>
        <w:top w:val="single" w:sz="6" w:space="2" w:color="838D9B" w:themeColor="accent1"/>
        <w:left w:val="single" w:sz="6" w:space="2" w:color="838D9B" w:themeColor="accent1"/>
      </w:pBdr>
      <w:spacing w:before="300" w:after="0"/>
      <w:outlineLvl w:val="2"/>
    </w:pPr>
    <w:rPr>
      <w:caps/>
      <w:color w:val="3F454E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A98"/>
    <w:pPr>
      <w:pBdr>
        <w:top w:val="dotted" w:sz="6" w:space="2" w:color="838D9B" w:themeColor="accent1"/>
        <w:left w:val="dotted" w:sz="6" w:space="2" w:color="838D9B" w:themeColor="accent1"/>
      </w:pBdr>
      <w:spacing w:before="300" w:after="0"/>
      <w:outlineLvl w:val="3"/>
    </w:pPr>
    <w:rPr>
      <w:caps/>
      <w:color w:val="5F697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6A98"/>
    <w:pPr>
      <w:pBdr>
        <w:bottom w:val="single" w:sz="6" w:space="1" w:color="838D9B" w:themeColor="accent1"/>
      </w:pBdr>
      <w:spacing w:before="300" w:after="0"/>
      <w:outlineLvl w:val="4"/>
    </w:pPr>
    <w:rPr>
      <w:caps/>
      <w:color w:val="5F697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6A98"/>
    <w:pPr>
      <w:pBdr>
        <w:bottom w:val="dotted" w:sz="6" w:space="1" w:color="838D9B" w:themeColor="accent1"/>
      </w:pBdr>
      <w:spacing w:before="300" w:after="0"/>
      <w:outlineLvl w:val="5"/>
    </w:pPr>
    <w:rPr>
      <w:caps/>
      <w:color w:val="5F697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6A98"/>
    <w:pPr>
      <w:spacing w:before="300" w:after="0"/>
      <w:outlineLvl w:val="6"/>
    </w:pPr>
    <w:rPr>
      <w:caps/>
      <w:color w:val="5F697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6A9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6A9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F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F9F"/>
  </w:style>
  <w:style w:type="paragraph" w:styleId="Footer">
    <w:name w:val="footer"/>
    <w:basedOn w:val="Normal"/>
    <w:link w:val="FooterChar"/>
    <w:uiPriority w:val="99"/>
    <w:unhideWhenUsed/>
    <w:rsid w:val="00321F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F9F"/>
  </w:style>
  <w:style w:type="character" w:customStyle="1" w:styleId="Heading1Char">
    <w:name w:val="Heading 1 Char"/>
    <w:basedOn w:val="DefaultParagraphFont"/>
    <w:link w:val="Heading1"/>
    <w:uiPriority w:val="9"/>
    <w:rsid w:val="00E86A98"/>
    <w:rPr>
      <w:b/>
      <w:bCs/>
      <w:caps/>
      <w:color w:val="FFFFFF" w:themeColor="background1"/>
      <w:spacing w:val="15"/>
      <w:shd w:val="clear" w:color="auto" w:fill="838D9B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86A98"/>
    <w:rPr>
      <w:caps/>
      <w:spacing w:val="15"/>
      <w:shd w:val="clear" w:color="auto" w:fill="E6E8EB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A98"/>
    <w:rPr>
      <w:caps/>
      <w:color w:val="3F454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A98"/>
    <w:rPr>
      <w:caps/>
      <w:color w:val="5F697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6A98"/>
    <w:rPr>
      <w:caps/>
      <w:color w:val="5F697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6A98"/>
    <w:rPr>
      <w:caps/>
      <w:color w:val="5F697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6A98"/>
    <w:rPr>
      <w:caps/>
      <w:color w:val="5F697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6A9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6A98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86A98"/>
    <w:rPr>
      <w:b/>
      <w:bCs/>
      <w:color w:val="5F697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86A98"/>
    <w:pPr>
      <w:spacing w:before="720"/>
    </w:pPr>
    <w:rPr>
      <w:caps/>
      <w:color w:val="838D9B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6A98"/>
    <w:rPr>
      <w:caps/>
      <w:color w:val="838D9B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6A9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86A98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E86A98"/>
    <w:rPr>
      <w:b/>
      <w:bCs/>
    </w:rPr>
  </w:style>
  <w:style w:type="character" w:styleId="Emphasis">
    <w:name w:val="Emphasis"/>
    <w:uiPriority w:val="20"/>
    <w:qFormat/>
    <w:rsid w:val="00E86A98"/>
    <w:rPr>
      <w:caps/>
      <w:color w:val="3F454E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E86A98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86A98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86A9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86A9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86A9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6A98"/>
    <w:pPr>
      <w:pBdr>
        <w:top w:val="single" w:sz="4" w:space="10" w:color="838D9B" w:themeColor="accent1"/>
        <w:left w:val="single" w:sz="4" w:space="10" w:color="838D9B" w:themeColor="accent1"/>
      </w:pBdr>
      <w:spacing w:after="0"/>
      <w:ind w:left="1296" w:right="1152"/>
      <w:jc w:val="both"/>
    </w:pPr>
    <w:rPr>
      <w:i/>
      <w:iCs/>
      <w:color w:val="838D9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6A98"/>
    <w:rPr>
      <w:i/>
      <w:iCs/>
      <w:color w:val="838D9B" w:themeColor="accent1"/>
      <w:sz w:val="20"/>
      <w:szCs w:val="20"/>
    </w:rPr>
  </w:style>
  <w:style w:type="character" w:styleId="SubtleEmphasis">
    <w:name w:val="Subtle Emphasis"/>
    <w:uiPriority w:val="19"/>
    <w:qFormat/>
    <w:rsid w:val="00E86A98"/>
    <w:rPr>
      <w:i/>
      <w:iCs/>
      <w:color w:val="3F454E" w:themeColor="accent1" w:themeShade="7F"/>
    </w:rPr>
  </w:style>
  <w:style w:type="character" w:styleId="IntenseEmphasis">
    <w:name w:val="Intense Emphasis"/>
    <w:uiPriority w:val="21"/>
    <w:qFormat/>
    <w:rsid w:val="00E86A98"/>
    <w:rPr>
      <w:b/>
      <w:bCs/>
      <w:caps/>
      <w:color w:val="3F454E" w:themeColor="accent1" w:themeShade="7F"/>
      <w:spacing w:val="10"/>
    </w:rPr>
  </w:style>
  <w:style w:type="character" w:styleId="SubtleReference">
    <w:name w:val="Subtle Reference"/>
    <w:uiPriority w:val="31"/>
    <w:qFormat/>
    <w:rsid w:val="00E86A98"/>
    <w:rPr>
      <w:b/>
      <w:bCs/>
      <w:color w:val="838D9B" w:themeColor="accent1"/>
    </w:rPr>
  </w:style>
  <w:style w:type="character" w:styleId="IntenseReference">
    <w:name w:val="Intense Reference"/>
    <w:uiPriority w:val="32"/>
    <w:qFormat/>
    <w:rsid w:val="00E86A98"/>
    <w:rPr>
      <w:b/>
      <w:bCs/>
      <w:i/>
      <w:iCs/>
      <w:caps/>
      <w:color w:val="838D9B" w:themeColor="accent1"/>
    </w:rPr>
  </w:style>
  <w:style w:type="character" w:styleId="BookTitle">
    <w:name w:val="Book Title"/>
    <w:uiPriority w:val="33"/>
    <w:qFormat/>
    <w:rsid w:val="00E86A98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6A98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semiHidden/>
    <w:unhideWhenUsed/>
    <w:rsid w:val="0073717D"/>
    <w:rPr>
      <w:color w:val="6187E3" w:themeColor="hyperlink"/>
      <w:u w:val="single"/>
    </w:rPr>
  </w:style>
  <w:style w:type="table" w:styleId="TableGrid">
    <w:name w:val="Table Grid"/>
    <w:basedOn w:val="TableNormal"/>
    <w:uiPriority w:val="39"/>
    <w:rsid w:val="0073717D"/>
    <w:pPr>
      <w:spacing w:before="0"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07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A9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A98"/>
    <w:pPr>
      <w:pBdr>
        <w:top w:val="single" w:sz="24" w:space="0" w:color="838D9B" w:themeColor="accent1"/>
        <w:left w:val="single" w:sz="24" w:space="0" w:color="838D9B" w:themeColor="accent1"/>
        <w:bottom w:val="single" w:sz="24" w:space="0" w:color="838D9B" w:themeColor="accent1"/>
        <w:right w:val="single" w:sz="24" w:space="0" w:color="838D9B" w:themeColor="accent1"/>
      </w:pBdr>
      <w:shd w:val="clear" w:color="auto" w:fill="838D9B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6A98"/>
    <w:pPr>
      <w:pBdr>
        <w:top w:val="single" w:sz="24" w:space="0" w:color="E6E8EB" w:themeColor="accent1" w:themeTint="33"/>
        <w:left w:val="single" w:sz="24" w:space="0" w:color="E6E8EB" w:themeColor="accent1" w:themeTint="33"/>
        <w:bottom w:val="single" w:sz="24" w:space="0" w:color="E6E8EB" w:themeColor="accent1" w:themeTint="33"/>
        <w:right w:val="single" w:sz="24" w:space="0" w:color="E6E8EB" w:themeColor="accent1" w:themeTint="33"/>
      </w:pBdr>
      <w:shd w:val="clear" w:color="auto" w:fill="E6E8EB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A98"/>
    <w:pPr>
      <w:pBdr>
        <w:top w:val="single" w:sz="6" w:space="2" w:color="838D9B" w:themeColor="accent1"/>
        <w:left w:val="single" w:sz="6" w:space="2" w:color="838D9B" w:themeColor="accent1"/>
      </w:pBdr>
      <w:spacing w:before="300" w:after="0"/>
      <w:outlineLvl w:val="2"/>
    </w:pPr>
    <w:rPr>
      <w:caps/>
      <w:color w:val="3F454E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A98"/>
    <w:pPr>
      <w:pBdr>
        <w:top w:val="dotted" w:sz="6" w:space="2" w:color="838D9B" w:themeColor="accent1"/>
        <w:left w:val="dotted" w:sz="6" w:space="2" w:color="838D9B" w:themeColor="accent1"/>
      </w:pBdr>
      <w:spacing w:before="300" w:after="0"/>
      <w:outlineLvl w:val="3"/>
    </w:pPr>
    <w:rPr>
      <w:caps/>
      <w:color w:val="5F697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6A98"/>
    <w:pPr>
      <w:pBdr>
        <w:bottom w:val="single" w:sz="6" w:space="1" w:color="838D9B" w:themeColor="accent1"/>
      </w:pBdr>
      <w:spacing w:before="300" w:after="0"/>
      <w:outlineLvl w:val="4"/>
    </w:pPr>
    <w:rPr>
      <w:caps/>
      <w:color w:val="5F697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6A98"/>
    <w:pPr>
      <w:pBdr>
        <w:bottom w:val="dotted" w:sz="6" w:space="1" w:color="838D9B" w:themeColor="accent1"/>
      </w:pBdr>
      <w:spacing w:before="300" w:after="0"/>
      <w:outlineLvl w:val="5"/>
    </w:pPr>
    <w:rPr>
      <w:caps/>
      <w:color w:val="5F697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6A98"/>
    <w:pPr>
      <w:spacing w:before="300" w:after="0"/>
      <w:outlineLvl w:val="6"/>
    </w:pPr>
    <w:rPr>
      <w:caps/>
      <w:color w:val="5F697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6A9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6A9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F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F9F"/>
  </w:style>
  <w:style w:type="paragraph" w:styleId="Footer">
    <w:name w:val="footer"/>
    <w:basedOn w:val="Normal"/>
    <w:link w:val="FooterChar"/>
    <w:uiPriority w:val="99"/>
    <w:unhideWhenUsed/>
    <w:rsid w:val="00321F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F9F"/>
  </w:style>
  <w:style w:type="character" w:customStyle="1" w:styleId="Heading1Char">
    <w:name w:val="Heading 1 Char"/>
    <w:basedOn w:val="DefaultParagraphFont"/>
    <w:link w:val="Heading1"/>
    <w:uiPriority w:val="9"/>
    <w:rsid w:val="00E86A98"/>
    <w:rPr>
      <w:b/>
      <w:bCs/>
      <w:caps/>
      <w:color w:val="FFFFFF" w:themeColor="background1"/>
      <w:spacing w:val="15"/>
      <w:shd w:val="clear" w:color="auto" w:fill="838D9B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86A98"/>
    <w:rPr>
      <w:caps/>
      <w:spacing w:val="15"/>
      <w:shd w:val="clear" w:color="auto" w:fill="E6E8EB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A98"/>
    <w:rPr>
      <w:caps/>
      <w:color w:val="3F454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A98"/>
    <w:rPr>
      <w:caps/>
      <w:color w:val="5F697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6A98"/>
    <w:rPr>
      <w:caps/>
      <w:color w:val="5F697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6A98"/>
    <w:rPr>
      <w:caps/>
      <w:color w:val="5F697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6A98"/>
    <w:rPr>
      <w:caps/>
      <w:color w:val="5F697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6A9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6A98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86A98"/>
    <w:rPr>
      <w:b/>
      <w:bCs/>
      <w:color w:val="5F697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86A98"/>
    <w:pPr>
      <w:spacing w:before="720"/>
    </w:pPr>
    <w:rPr>
      <w:caps/>
      <w:color w:val="838D9B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6A98"/>
    <w:rPr>
      <w:caps/>
      <w:color w:val="838D9B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6A9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86A98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E86A98"/>
    <w:rPr>
      <w:b/>
      <w:bCs/>
    </w:rPr>
  </w:style>
  <w:style w:type="character" w:styleId="Emphasis">
    <w:name w:val="Emphasis"/>
    <w:uiPriority w:val="20"/>
    <w:qFormat/>
    <w:rsid w:val="00E86A98"/>
    <w:rPr>
      <w:caps/>
      <w:color w:val="3F454E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E86A98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86A98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86A9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86A9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86A9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6A98"/>
    <w:pPr>
      <w:pBdr>
        <w:top w:val="single" w:sz="4" w:space="10" w:color="838D9B" w:themeColor="accent1"/>
        <w:left w:val="single" w:sz="4" w:space="10" w:color="838D9B" w:themeColor="accent1"/>
      </w:pBdr>
      <w:spacing w:after="0"/>
      <w:ind w:left="1296" w:right="1152"/>
      <w:jc w:val="both"/>
    </w:pPr>
    <w:rPr>
      <w:i/>
      <w:iCs/>
      <w:color w:val="838D9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6A98"/>
    <w:rPr>
      <w:i/>
      <w:iCs/>
      <w:color w:val="838D9B" w:themeColor="accent1"/>
      <w:sz w:val="20"/>
      <w:szCs w:val="20"/>
    </w:rPr>
  </w:style>
  <w:style w:type="character" w:styleId="SubtleEmphasis">
    <w:name w:val="Subtle Emphasis"/>
    <w:uiPriority w:val="19"/>
    <w:qFormat/>
    <w:rsid w:val="00E86A98"/>
    <w:rPr>
      <w:i/>
      <w:iCs/>
      <w:color w:val="3F454E" w:themeColor="accent1" w:themeShade="7F"/>
    </w:rPr>
  </w:style>
  <w:style w:type="character" w:styleId="IntenseEmphasis">
    <w:name w:val="Intense Emphasis"/>
    <w:uiPriority w:val="21"/>
    <w:qFormat/>
    <w:rsid w:val="00E86A98"/>
    <w:rPr>
      <w:b/>
      <w:bCs/>
      <w:caps/>
      <w:color w:val="3F454E" w:themeColor="accent1" w:themeShade="7F"/>
      <w:spacing w:val="10"/>
    </w:rPr>
  </w:style>
  <w:style w:type="character" w:styleId="SubtleReference">
    <w:name w:val="Subtle Reference"/>
    <w:uiPriority w:val="31"/>
    <w:qFormat/>
    <w:rsid w:val="00E86A98"/>
    <w:rPr>
      <w:b/>
      <w:bCs/>
      <w:color w:val="838D9B" w:themeColor="accent1"/>
    </w:rPr>
  </w:style>
  <w:style w:type="character" w:styleId="IntenseReference">
    <w:name w:val="Intense Reference"/>
    <w:uiPriority w:val="32"/>
    <w:qFormat/>
    <w:rsid w:val="00E86A98"/>
    <w:rPr>
      <w:b/>
      <w:bCs/>
      <w:i/>
      <w:iCs/>
      <w:caps/>
      <w:color w:val="838D9B" w:themeColor="accent1"/>
    </w:rPr>
  </w:style>
  <w:style w:type="character" w:styleId="BookTitle">
    <w:name w:val="Book Title"/>
    <w:uiPriority w:val="33"/>
    <w:qFormat/>
    <w:rsid w:val="00E86A98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6A98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semiHidden/>
    <w:unhideWhenUsed/>
    <w:rsid w:val="0073717D"/>
    <w:rPr>
      <w:color w:val="6187E3" w:themeColor="hyperlink"/>
      <w:u w:val="single"/>
    </w:rPr>
  </w:style>
  <w:style w:type="table" w:styleId="TableGrid">
    <w:name w:val="Table Grid"/>
    <w:basedOn w:val="TableNormal"/>
    <w:uiPriority w:val="39"/>
    <w:rsid w:val="0073717D"/>
    <w:pPr>
      <w:spacing w:before="0"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07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3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hu.primo.exlibrisgroup.com/permalink/44SHU_INST/at0fmn/alma9947014060250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Perspective">
  <a:themeElements>
    <a:clrScheme name="Perspective">
      <a:dk1>
        <a:sysClr val="windowText" lastClr="000000"/>
      </a:dk1>
      <a:lt1>
        <a:sysClr val="window" lastClr="FFFFFF"/>
      </a:lt1>
      <a:dk2>
        <a:srgbClr val="283138"/>
      </a:dk2>
      <a:lt2>
        <a:srgbClr val="FF8600"/>
      </a:lt2>
      <a:accent1>
        <a:srgbClr val="838D9B"/>
      </a:accent1>
      <a:accent2>
        <a:srgbClr val="D2610C"/>
      </a:accent2>
      <a:accent3>
        <a:srgbClr val="80716A"/>
      </a:accent3>
      <a:accent4>
        <a:srgbClr val="94147C"/>
      </a:accent4>
      <a:accent5>
        <a:srgbClr val="5D5AD2"/>
      </a:accent5>
      <a:accent6>
        <a:srgbClr val="6F6C7D"/>
      </a:accent6>
      <a:hlink>
        <a:srgbClr val="6187E3"/>
      </a:hlink>
      <a:folHlink>
        <a:srgbClr val="7B8EB8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erspec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60000"/>
                <a:lumMod val="105000"/>
              </a:schemeClr>
            </a:gs>
            <a:gs pos="41000">
              <a:schemeClr val="phClr">
                <a:tint val="57000"/>
                <a:satMod val="180000"/>
                <a:lumMod val="99000"/>
              </a:schemeClr>
            </a:gs>
            <a:gs pos="100000">
              <a:schemeClr val="phClr">
                <a:tint val="80000"/>
                <a:satMod val="20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6000"/>
                <a:satMod val="130000"/>
                <a:lumMod val="114000"/>
              </a:schemeClr>
            </a:gs>
            <a:gs pos="60000">
              <a:schemeClr val="phClr">
                <a:tint val="100000"/>
                <a:satMod val="106000"/>
                <a:lumMod val="110000"/>
              </a:schemeClr>
            </a:gs>
            <a:gs pos="100000">
              <a:schemeClr val="phClr"/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47625" dist="38100" dir="5400000" sy="98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woPt" dir="br">
              <a:rot lat="0" lon="0" rev="8700000"/>
            </a:lightRig>
          </a:scene3d>
          <a:sp3d prstMaterial="matte">
            <a:bevelT w="25400" h="53975"/>
          </a:sp3d>
        </a:effectStyle>
        <a:effectStyle>
          <a:effectLst>
            <a:reflection blurRad="12700" stA="24000" endPos="28000" dist="50800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6985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80000"/>
                <a:satMod val="100000"/>
                <a:lumMod val="100000"/>
              </a:schemeClr>
            </a:gs>
            <a:gs pos="65000">
              <a:schemeClr val="phClr">
                <a:tint val="100000"/>
                <a:shade val="95000"/>
                <a:satMod val="100000"/>
                <a:lumMod val="100000"/>
              </a:schemeClr>
            </a:gs>
            <a:gs pos="100000">
              <a:schemeClr val="phClr">
                <a:tint val="88000"/>
                <a:shade val="100000"/>
                <a:satMod val="400000"/>
                <a:lumMod val="1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  <a:satMod val="90000"/>
              </a:schemeClr>
              <a:schemeClr val="phClr">
                <a:shade val="92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Hallam University</Company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Middleton</dc:creator>
  <cp:lastModifiedBy>Sam Moorwood</cp:lastModifiedBy>
  <cp:revision>3</cp:revision>
  <dcterms:created xsi:type="dcterms:W3CDTF">2020-07-17T07:06:00Z</dcterms:created>
  <dcterms:modified xsi:type="dcterms:W3CDTF">2020-07-19T22:28:00Z</dcterms:modified>
</cp:coreProperties>
</file>